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EB59" w14:textId="77777777" w:rsidR="00D91C65" w:rsidRPr="00C94EC6" w:rsidRDefault="00D91C65" w:rsidP="00D91C65">
      <w:pPr>
        <w:jc w:val="center"/>
        <w:rPr>
          <w:b/>
          <w:noProof/>
        </w:rPr>
      </w:pPr>
    </w:p>
    <w:p w14:paraId="594F5FA5" w14:textId="198FF3F9" w:rsidR="00D91C65" w:rsidRPr="00C94EC6" w:rsidRDefault="00D91C65" w:rsidP="00D91C65">
      <w:pPr>
        <w:jc w:val="center"/>
        <w:rPr>
          <w:b/>
          <w:noProof/>
        </w:rPr>
      </w:pPr>
      <w:r w:rsidRPr="00C94EC6">
        <w:rPr>
          <w:noProof/>
        </w:rPr>
        <w:drawing>
          <wp:anchor distT="0" distB="0" distL="114300" distR="114300" simplePos="0" relativeHeight="251658240" behindDoc="1" locked="0" layoutInCell="1" allowOverlap="1" wp14:anchorId="428F5EA4" wp14:editId="25720FED">
            <wp:simplePos x="0" y="0"/>
            <wp:positionH relativeFrom="margin">
              <wp:align>center</wp:align>
            </wp:positionH>
            <wp:positionV relativeFrom="paragraph">
              <wp:posOffset>13335</wp:posOffset>
            </wp:positionV>
            <wp:extent cx="2506345" cy="963295"/>
            <wp:effectExtent l="0" t="0" r="8255" b="8255"/>
            <wp:wrapTight wrapText="bothSides">
              <wp:wrapPolygon edited="0">
                <wp:start x="0" y="0"/>
                <wp:lineTo x="0" y="21358"/>
                <wp:lineTo x="21507" y="2135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06345" cy="963295"/>
                    </a:xfrm>
                    <a:prstGeom prst="rect">
                      <a:avLst/>
                    </a:prstGeom>
                  </pic:spPr>
                </pic:pic>
              </a:graphicData>
            </a:graphic>
            <wp14:sizeRelH relativeFrom="margin">
              <wp14:pctWidth>0</wp14:pctWidth>
            </wp14:sizeRelH>
            <wp14:sizeRelV relativeFrom="margin">
              <wp14:pctHeight>0</wp14:pctHeight>
            </wp14:sizeRelV>
          </wp:anchor>
        </w:drawing>
      </w:r>
    </w:p>
    <w:p w14:paraId="28BB1E6E" w14:textId="77777777" w:rsidR="00D91C65" w:rsidRPr="00C94EC6" w:rsidRDefault="00D91C65" w:rsidP="00D91C65">
      <w:pPr>
        <w:jc w:val="center"/>
        <w:rPr>
          <w:b/>
          <w:noProof/>
        </w:rPr>
      </w:pPr>
    </w:p>
    <w:p w14:paraId="358C94D0" w14:textId="77777777" w:rsidR="00D91C65" w:rsidRPr="00C94EC6" w:rsidRDefault="00D91C65" w:rsidP="00D91C65">
      <w:pPr>
        <w:jc w:val="center"/>
        <w:rPr>
          <w:b/>
          <w:noProof/>
        </w:rPr>
      </w:pPr>
    </w:p>
    <w:p w14:paraId="01558FDA" w14:textId="77777777" w:rsidR="00D91C65" w:rsidRPr="00C94EC6" w:rsidRDefault="00D91C65" w:rsidP="00D91C65">
      <w:pPr>
        <w:jc w:val="center"/>
        <w:rPr>
          <w:b/>
          <w:noProof/>
        </w:rPr>
      </w:pPr>
    </w:p>
    <w:p w14:paraId="72A00943" w14:textId="23D9AE66" w:rsidR="00D91C65" w:rsidRPr="00C94EC6" w:rsidRDefault="00D91C65" w:rsidP="00D91C65">
      <w:pPr>
        <w:jc w:val="center"/>
        <w:rPr>
          <w:b/>
          <w:noProof/>
        </w:rPr>
      </w:pPr>
      <w:r w:rsidRPr="00C94EC6">
        <w:rPr>
          <w:b/>
          <w:noProof/>
        </w:rPr>
        <w:t xml:space="preserve">National Ethics Advisory Committee </w:t>
      </w:r>
    </w:p>
    <w:p w14:paraId="7104347A" w14:textId="0CFCB41F" w:rsidR="00D91C65" w:rsidRPr="00D129DD" w:rsidRDefault="00D129DD" w:rsidP="00D129DD">
      <w:pPr>
        <w:pStyle w:val="Heading3"/>
      </w:pPr>
      <w:r w:rsidRPr="00D129DD">
        <w:t>28 July 2022</w:t>
      </w:r>
    </w:p>
    <w:p w14:paraId="1677DA91" w14:textId="62F6AF86" w:rsidR="00D91C65" w:rsidRPr="00C94EC6" w:rsidRDefault="00D91C65" w:rsidP="00D91C65">
      <w:pPr>
        <w:jc w:val="center"/>
        <w:rPr>
          <w:b/>
          <w:bCs/>
        </w:rPr>
      </w:pPr>
      <w:r w:rsidRPr="00C94EC6">
        <w:rPr>
          <w:b/>
          <w:bCs/>
        </w:rPr>
        <w:t xml:space="preserve">9:00am – 3:00pm </w:t>
      </w:r>
    </w:p>
    <w:sdt>
      <w:sdtPr>
        <w:rPr>
          <w:rFonts w:asciiTheme="minorHAnsi" w:eastAsiaTheme="minorHAnsi" w:hAnsiTheme="minorHAnsi" w:cstheme="minorBidi"/>
          <w:color w:val="auto"/>
          <w:sz w:val="22"/>
          <w:szCs w:val="22"/>
          <w:lang w:val="en-NZ"/>
        </w:rPr>
        <w:id w:val="-560714400"/>
        <w:docPartObj>
          <w:docPartGallery w:val="Table of Contents"/>
          <w:docPartUnique/>
        </w:docPartObj>
      </w:sdtPr>
      <w:sdtEndPr>
        <w:rPr>
          <w:b/>
          <w:bCs/>
          <w:noProof/>
        </w:rPr>
      </w:sdtEndPr>
      <w:sdtContent>
        <w:p w14:paraId="17463515" w14:textId="0C7B3FC7" w:rsidR="007C77C8" w:rsidRPr="00C94EC6" w:rsidRDefault="007C77C8">
          <w:pPr>
            <w:pStyle w:val="TOCHeading"/>
            <w:rPr>
              <w:b/>
              <w:bCs/>
              <w:color w:val="324F5C"/>
              <w:lang w:val="en-NZ"/>
            </w:rPr>
          </w:pPr>
          <w:r w:rsidRPr="00C94EC6">
            <w:rPr>
              <w:b/>
              <w:bCs/>
              <w:color w:val="324F5C"/>
              <w:lang w:val="en-NZ"/>
            </w:rPr>
            <w:t>Table of Contents</w:t>
          </w:r>
        </w:p>
        <w:p w14:paraId="1F1F4B0F" w14:textId="790788B5" w:rsidR="001C52D7" w:rsidRDefault="007C77C8">
          <w:pPr>
            <w:pStyle w:val="TOC1"/>
            <w:tabs>
              <w:tab w:val="right" w:leader="dot" w:pos="9016"/>
            </w:tabs>
            <w:rPr>
              <w:rFonts w:eastAsiaTheme="minorEastAsia"/>
              <w:noProof/>
              <w:lang w:eastAsia="en-NZ"/>
            </w:rPr>
          </w:pPr>
          <w:r w:rsidRPr="00C94EC6">
            <w:fldChar w:fldCharType="begin"/>
          </w:r>
          <w:r w:rsidRPr="00C94EC6">
            <w:instrText xml:space="preserve"> TOC \o "1-3" \h \z \u </w:instrText>
          </w:r>
          <w:r w:rsidRPr="00C94EC6">
            <w:fldChar w:fldCharType="separate"/>
          </w:r>
          <w:hyperlink w:anchor="_Toc110257853" w:history="1">
            <w:r w:rsidR="001C52D7" w:rsidRPr="00117F64">
              <w:rPr>
                <w:rStyle w:val="Hyperlink"/>
                <w:b/>
                <w:bCs/>
                <w:noProof/>
              </w:rPr>
              <w:t>Attendees</w:t>
            </w:r>
            <w:r w:rsidR="001C52D7">
              <w:rPr>
                <w:noProof/>
                <w:webHidden/>
              </w:rPr>
              <w:tab/>
            </w:r>
            <w:r w:rsidR="001C52D7">
              <w:rPr>
                <w:noProof/>
                <w:webHidden/>
              </w:rPr>
              <w:fldChar w:fldCharType="begin"/>
            </w:r>
            <w:r w:rsidR="001C52D7">
              <w:rPr>
                <w:noProof/>
                <w:webHidden/>
              </w:rPr>
              <w:instrText xml:space="preserve"> PAGEREF _Toc110257853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0E8F53A5" w14:textId="5917863C" w:rsidR="001C52D7" w:rsidRDefault="00350BF8">
          <w:pPr>
            <w:pStyle w:val="TOC1"/>
            <w:tabs>
              <w:tab w:val="right" w:leader="dot" w:pos="9016"/>
            </w:tabs>
            <w:rPr>
              <w:rFonts w:eastAsiaTheme="minorEastAsia"/>
              <w:noProof/>
              <w:lang w:eastAsia="en-NZ"/>
            </w:rPr>
          </w:pPr>
          <w:hyperlink w:anchor="_Toc110257854" w:history="1">
            <w:r w:rsidR="001C52D7" w:rsidRPr="00117F64">
              <w:rPr>
                <w:rStyle w:val="Hyperlink"/>
                <w:b/>
                <w:bCs/>
                <w:noProof/>
              </w:rPr>
              <w:t>Approval of the day’s agenda</w:t>
            </w:r>
            <w:r w:rsidR="001C52D7">
              <w:rPr>
                <w:noProof/>
                <w:webHidden/>
              </w:rPr>
              <w:tab/>
            </w:r>
            <w:r w:rsidR="001C52D7">
              <w:rPr>
                <w:noProof/>
                <w:webHidden/>
              </w:rPr>
              <w:fldChar w:fldCharType="begin"/>
            </w:r>
            <w:r w:rsidR="001C52D7">
              <w:rPr>
                <w:noProof/>
                <w:webHidden/>
              </w:rPr>
              <w:instrText xml:space="preserve"> PAGEREF _Toc110257854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2B88A893" w14:textId="38D83749" w:rsidR="001C52D7" w:rsidRDefault="00350BF8">
          <w:pPr>
            <w:pStyle w:val="TOC1"/>
            <w:tabs>
              <w:tab w:val="right" w:leader="dot" w:pos="9016"/>
            </w:tabs>
            <w:rPr>
              <w:rFonts w:eastAsiaTheme="minorEastAsia"/>
              <w:noProof/>
              <w:lang w:eastAsia="en-NZ"/>
            </w:rPr>
          </w:pPr>
          <w:hyperlink w:anchor="_Toc110257855" w:history="1">
            <w:r w:rsidR="001C52D7" w:rsidRPr="00117F64">
              <w:rPr>
                <w:rStyle w:val="Hyperlink"/>
                <w:b/>
                <w:bCs/>
                <w:noProof/>
              </w:rPr>
              <w:t>Declaration of Interests</w:t>
            </w:r>
            <w:r w:rsidR="001C52D7">
              <w:rPr>
                <w:noProof/>
                <w:webHidden/>
              </w:rPr>
              <w:tab/>
            </w:r>
            <w:r w:rsidR="001C52D7">
              <w:rPr>
                <w:noProof/>
                <w:webHidden/>
              </w:rPr>
              <w:fldChar w:fldCharType="begin"/>
            </w:r>
            <w:r w:rsidR="001C52D7">
              <w:rPr>
                <w:noProof/>
                <w:webHidden/>
              </w:rPr>
              <w:instrText xml:space="preserve"> PAGEREF _Toc110257855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34B7DBC1" w14:textId="4EDC397B" w:rsidR="001C52D7" w:rsidRDefault="00350BF8">
          <w:pPr>
            <w:pStyle w:val="TOC2"/>
            <w:tabs>
              <w:tab w:val="right" w:leader="dot" w:pos="9016"/>
            </w:tabs>
            <w:rPr>
              <w:rFonts w:eastAsiaTheme="minorEastAsia"/>
              <w:noProof/>
              <w:lang w:eastAsia="en-NZ"/>
            </w:rPr>
          </w:pPr>
          <w:hyperlink w:anchor="_Toc110257856"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_Toc110257856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0C76587A" w14:textId="6ED7473D" w:rsidR="001C52D7" w:rsidRDefault="00350BF8">
          <w:pPr>
            <w:pStyle w:val="TOC1"/>
            <w:tabs>
              <w:tab w:val="right" w:leader="dot" w:pos="9016"/>
            </w:tabs>
            <w:rPr>
              <w:rFonts w:eastAsiaTheme="minorEastAsia"/>
              <w:noProof/>
              <w:lang w:eastAsia="en-NZ"/>
            </w:rPr>
          </w:pPr>
          <w:hyperlink w:anchor="_Toc110257857" w:history="1">
            <w:r w:rsidR="001C52D7" w:rsidRPr="00117F64">
              <w:rPr>
                <w:rStyle w:val="Hyperlink"/>
                <w:b/>
                <w:bCs/>
                <w:noProof/>
              </w:rPr>
              <w:t>Approval of minutes from NEAC’s 26 May 2022 meeting</w:t>
            </w:r>
            <w:r w:rsidR="001C52D7">
              <w:rPr>
                <w:noProof/>
                <w:webHidden/>
              </w:rPr>
              <w:tab/>
            </w:r>
            <w:r w:rsidR="001C52D7">
              <w:rPr>
                <w:noProof/>
                <w:webHidden/>
              </w:rPr>
              <w:fldChar w:fldCharType="begin"/>
            </w:r>
            <w:r w:rsidR="001C52D7">
              <w:rPr>
                <w:noProof/>
                <w:webHidden/>
              </w:rPr>
              <w:instrText xml:space="preserve"> PAGEREF _Toc110257857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332D003C" w14:textId="2EA61E84" w:rsidR="001C52D7" w:rsidRDefault="00350BF8">
          <w:pPr>
            <w:pStyle w:val="TOC1"/>
            <w:tabs>
              <w:tab w:val="right" w:leader="dot" w:pos="9016"/>
            </w:tabs>
            <w:rPr>
              <w:rFonts w:eastAsiaTheme="minorEastAsia"/>
              <w:noProof/>
              <w:lang w:eastAsia="en-NZ"/>
            </w:rPr>
          </w:pPr>
          <w:hyperlink w:anchor="_Toc110257858" w:history="1">
            <w:r w:rsidR="001C52D7" w:rsidRPr="00117F64">
              <w:rPr>
                <w:rStyle w:val="Hyperlink"/>
                <w:b/>
                <w:bCs/>
                <w:noProof/>
              </w:rPr>
              <w:t>Actions Arising from NEAC’s 26 May 2022 meeting</w:t>
            </w:r>
            <w:r w:rsidR="001C52D7">
              <w:rPr>
                <w:noProof/>
                <w:webHidden/>
              </w:rPr>
              <w:tab/>
            </w:r>
            <w:r w:rsidR="001C52D7">
              <w:rPr>
                <w:noProof/>
                <w:webHidden/>
              </w:rPr>
              <w:fldChar w:fldCharType="begin"/>
            </w:r>
            <w:r w:rsidR="001C52D7">
              <w:rPr>
                <w:noProof/>
                <w:webHidden/>
              </w:rPr>
              <w:instrText xml:space="preserve"> PAGEREF _Toc110257858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606ED550" w14:textId="7871777C" w:rsidR="001C52D7" w:rsidRDefault="00350BF8">
          <w:pPr>
            <w:pStyle w:val="TOC1"/>
            <w:tabs>
              <w:tab w:val="right" w:leader="dot" w:pos="9016"/>
            </w:tabs>
            <w:rPr>
              <w:rFonts w:eastAsiaTheme="minorEastAsia"/>
              <w:noProof/>
              <w:lang w:eastAsia="en-NZ"/>
            </w:rPr>
          </w:pPr>
          <w:hyperlink w:anchor="_Toc110257859" w:history="1">
            <w:r w:rsidR="001C52D7" w:rsidRPr="00117F64">
              <w:rPr>
                <w:rStyle w:val="Hyperlink"/>
                <w:b/>
                <w:bCs/>
                <w:noProof/>
              </w:rPr>
              <w:t>Chair’s update</w:t>
            </w:r>
            <w:r w:rsidR="001C52D7">
              <w:rPr>
                <w:noProof/>
                <w:webHidden/>
              </w:rPr>
              <w:tab/>
            </w:r>
            <w:r w:rsidR="001C52D7">
              <w:rPr>
                <w:noProof/>
                <w:webHidden/>
              </w:rPr>
              <w:fldChar w:fldCharType="begin"/>
            </w:r>
            <w:r w:rsidR="001C52D7">
              <w:rPr>
                <w:noProof/>
                <w:webHidden/>
              </w:rPr>
              <w:instrText xml:space="preserve"> PAGEREF _Toc110257859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16FA3DE6" w14:textId="33B9C3E0" w:rsidR="001C52D7" w:rsidRDefault="00350BF8">
          <w:pPr>
            <w:pStyle w:val="TOC2"/>
            <w:tabs>
              <w:tab w:val="right" w:leader="dot" w:pos="9016"/>
            </w:tabs>
            <w:rPr>
              <w:rFonts w:eastAsiaTheme="minorEastAsia"/>
              <w:noProof/>
              <w:lang w:eastAsia="en-NZ"/>
            </w:rPr>
          </w:pPr>
          <w:hyperlink w:anchor="_Toc110257860"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_Toc110257860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1925603F" w14:textId="6B29CC85" w:rsidR="001C52D7" w:rsidRDefault="00350BF8">
          <w:pPr>
            <w:pStyle w:val="TOC1"/>
            <w:tabs>
              <w:tab w:val="right" w:leader="dot" w:pos="9016"/>
            </w:tabs>
            <w:rPr>
              <w:rFonts w:eastAsiaTheme="minorEastAsia"/>
              <w:noProof/>
              <w:lang w:eastAsia="en-NZ"/>
            </w:rPr>
          </w:pPr>
          <w:hyperlink w:anchor="_Toc110257861" w:history="1">
            <w:r w:rsidR="001C52D7" w:rsidRPr="00117F64">
              <w:rPr>
                <w:rStyle w:val="Hyperlink"/>
                <w:b/>
                <w:bCs/>
                <w:noProof/>
              </w:rPr>
              <w:t>Secretariat update</w:t>
            </w:r>
            <w:r w:rsidR="001C52D7">
              <w:rPr>
                <w:noProof/>
                <w:webHidden/>
              </w:rPr>
              <w:tab/>
            </w:r>
            <w:r w:rsidR="001C52D7">
              <w:rPr>
                <w:noProof/>
                <w:webHidden/>
              </w:rPr>
              <w:fldChar w:fldCharType="begin"/>
            </w:r>
            <w:r w:rsidR="001C52D7">
              <w:rPr>
                <w:noProof/>
                <w:webHidden/>
              </w:rPr>
              <w:instrText xml:space="preserve"> PAGEREF _Toc110257861 \h </w:instrText>
            </w:r>
            <w:r w:rsidR="001C52D7">
              <w:rPr>
                <w:noProof/>
                <w:webHidden/>
              </w:rPr>
            </w:r>
            <w:r w:rsidR="001C52D7">
              <w:rPr>
                <w:noProof/>
                <w:webHidden/>
              </w:rPr>
              <w:fldChar w:fldCharType="separate"/>
            </w:r>
            <w:r w:rsidR="001C52D7">
              <w:rPr>
                <w:noProof/>
                <w:webHidden/>
              </w:rPr>
              <w:t>2</w:t>
            </w:r>
            <w:r w:rsidR="001C52D7">
              <w:rPr>
                <w:noProof/>
                <w:webHidden/>
              </w:rPr>
              <w:fldChar w:fldCharType="end"/>
            </w:r>
          </w:hyperlink>
        </w:p>
        <w:p w14:paraId="49EA137F" w14:textId="17FB97E8" w:rsidR="001C52D7" w:rsidRDefault="00350BF8">
          <w:pPr>
            <w:pStyle w:val="TOC2"/>
            <w:tabs>
              <w:tab w:val="right" w:leader="dot" w:pos="9016"/>
            </w:tabs>
            <w:rPr>
              <w:rFonts w:eastAsiaTheme="minorEastAsia"/>
              <w:noProof/>
              <w:lang w:eastAsia="en-NZ"/>
            </w:rPr>
          </w:pPr>
          <w:hyperlink w:anchor="_Toc110257862"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_Toc110257862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33FADB56" w14:textId="39380146" w:rsidR="001C52D7" w:rsidRDefault="00350BF8">
          <w:pPr>
            <w:pStyle w:val="TOC1"/>
            <w:tabs>
              <w:tab w:val="right" w:leader="dot" w:pos="9016"/>
            </w:tabs>
            <w:rPr>
              <w:rFonts w:eastAsiaTheme="minorEastAsia"/>
              <w:noProof/>
              <w:lang w:eastAsia="en-NZ"/>
            </w:rPr>
          </w:pPr>
          <w:hyperlink w:anchor="_Toc110257863" w:history="1">
            <w:r w:rsidR="001C52D7" w:rsidRPr="00117F64">
              <w:rPr>
                <w:rStyle w:val="Hyperlink"/>
                <w:b/>
                <w:bCs/>
                <w:noProof/>
              </w:rPr>
              <w:t>WHO Meeting in Portugal</w:t>
            </w:r>
            <w:r w:rsidR="001C52D7">
              <w:rPr>
                <w:noProof/>
                <w:webHidden/>
              </w:rPr>
              <w:tab/>
            </w:r>
            <w:r w:rsidR="001C52D7">
              <w:rPr>
                <w:noProof/>
                <w:webHidden/>
              </w:rPr>
              <w:fldChar w:fldCharType="begin"/>
            </w:r>
            <w:r w:rsidR="001C52D7">
              <w:rPr>
                <w:noProof/>
                <w:webHidden/>
              </w:rPr>
              <w:instrText xml:space="preserve"> PAGEREF _Toc110257863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39BD30CF" w14:textId="1F495E31" w:rsidR="001C52D7" w:rsidRDefault="00350BF8">
          <w:pPr>
            <w:pStyle w:val="TOC2"/>
            <w:tabs>
              <w:tab w:val="right" w:leader="dot" w:pos="9016"/>
            </w:tabs>
            <w:rPr>
              <w:rFonts w:eastAsiaTheme="minorEastAsia"/>
              <w:noProof/>
              <w:lang w:eastAsia="en-NZ"/>
            </w:rPr>
          </w:pPr>
          <w:hyperlink w:anchor="_Toc110257864"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_Toc110257864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2A064261" w14:textId="23CEEACC" w:rsidR="001C52D7" w:rsidRDefault="00350BF8">
          <w:pPr>
            <w:pStyle w:val="TOC1"/>
            <w:tabs>
              <w:tab w:val="right" w:leader="dot" w:pos="9016"/>
            </w:tabs>
            <w:rPr>
              <w:rFonts w:eastAsiaTheme="minorEastAsia"/>
              <w:noProof/>
              <w:lang w:eastAsia="en-NZ"/>
            </w:rPr>
          </w:pPr>
          <w:hyperlink w:anchor="_Toc110257865" w:history="1">
            <w:r w:rsidR="001C52D7" w:rsidRPr="00117F64">
              <w:rPr>
                <w:rStyle w:val="Hyperlink"/>
                <w:b/>
                <w:bCs/>
                <w:noProof/>
              </w:rPr>
              <w:t>IEC and HDEC Ethics Committee Training</w:t>
            </w:r>
            <w:r w:rsidR="001C52D7">
              <w:rPr>
                <w:noProof/>
                <w:webHidden/>
              </w:rPr>
              <w:tab/>
            </w:r>
            <w:r w:rsidR="001C52D7">
              <w:rPr>
                <w:noProof/>
                <w:webHidden/>
              </w:rPr>
              <w:fldChar w:fldCharType="begin"/>
            </w:r>
            <w:r w:rsidR="001C52D7">
              <w:rPr>
                <w:noProof/>
                <w:webHidden/>
              </w:rPr>
              <w:instrText xml:space="preserve"> PAGEREF _Toc110257865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4D2D3A29" w14:textId="46FAA8BD" w:rsidR="001C52D7" w:rsidRDefault="00350BF8">
          <w:pPr>
            <w:pStyle w:val="TOC2"/>
            <w:tabs>
              <w:tab w:val="right" w:leader="dot" w:pos="9016"/>
            </w:tabs>
            <w:rPr>
              <w:rFonts w:eastAsiaTheme="minorEastAsia"/>
              <w:noProof/>
              <w:lang w:eastAsia="en-NZ"/>
            </w:rPr>
          </w:pPr>
          <w:hyperlink w:anchor="_Toc110257866"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_Toc110257866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5B1D1634" w14:textId="0BE1B6EC" w:rsidR="001C52D7" w:rsidRDefault="00350BF8">
          <w:pPr>
            <w:pStyle w:val="TOC1"/>
            <w:tabs>
              <w:tab w:val="right" w:leader="dot" w:pos="9016"/>
            </w:tabs>
            <w:rPr>
              <w:rFonts w:eastAsiaTheme="minorEastAsia"/>
              <w:noProof/>
              <w:lang w:eastAsia="en-NZ"/>
            </w:rPr>
          </w:pPr>
          <w:hyperlink w:anchor="_Toc110257867" w:history="1">
            <w:r w:rsidR="001C52D7" w:rsidRPr="00117F64">
              <w:rPr>
                <w:rStyle w:val="Hyperlink"/>
                <w:b/>
                <w:bCs/>
                <w:noProof/>
              </w:rPr>
              <w:t>Safe Areas presentation</w:t>
            </w:r>
            <w:r w:rsidR="001C52D7">
              <w:rPr>
                <w:noProof/>
                <w:webHidden/>
              </w:rPr>
              <w:tab/>
            </w:r>
            <w:r w:rsidR="001C52D7">
              <w:rPr>
                <w:noProof/>
                <w:webHidden/>
              </w:rPr>
              <w:fldChar w:fldCharType="begin"/>
            </w:r>
            <w:r w:rsidR="001C52D7">
              <w:rPr>
                <w:noProof/>
                <w:webHidden/>
              </w:rPr>
              <w:instrText xml:space="preserve"> PAGEREF _Toc110257867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05E9A488" w14:textId="0B91C948" w:rsidR="001C52D7" w:rsidRDefault="00350BF8">
          <w:pPr>
            <w:pStyle w:val="TOC2"/>
            <w:tabs>
              <w:tab w:val="right" w:leader="dot" w:pos="9016"/>
            </w:tabs>
            <w:rPr>
              <w:rFonts w:eastAsiaTheme="minorEastAsia"/>
              <w:noProof/>
              <w:lang w:eastAsia="en-NZ"/>
            </w:rPr>
          </w:pPr>
          <w:hyperlink w:anchor="_Toc110257868"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_Toc110257868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6F59AE80" w14:textId="17928CC1" w:rsidR="001C52D7" w:rsidRDefault="00350BF8">
          <w:pPr>
            <w:pStyle w:val="TOC1"/>
            <w:tabs>
              <w:tab w:val="right" w:leader="dot" w:pos="9016"/>
            </w:tabs>
            <w:rPr>
              <w:rFonts w:eastAsiaTheme="minorEastAsia"/>
              <w:noProof/>
              <w:lang w:eastAsia="en-NZ"/>
            </w:rPr>
          </w:pPr>
          <w:hyperlink w:anchor="_Toc110257869" w:history="1">
            <w:r w:rsidR="001C52D7" w:rsidRPr="00117F64">
              <w:rPr>
                <w:rStyle w:val="Hyperlink"/>
                <w:b/>
                <w:bCs/>
                <w:noProof/>
              </w:rPr>
              <w:t>EGAP</w:t>
            </w:r>
            <w:r w:rsidR="001C52D7">
              <w:rPr>
                <w:noProof/>
                <w:webHidden/>
              </w:rPr>
              <w:tab/>
            </w:r>
            <w:r w:rsidR="001C52D7">
              <w:rPr>
                <w:noProof/>
                <w:webHidden/>
              </w:rPr>
              <w:fldChar w:fldCharType="begin"/>
            </w:r>
            <w:r w:rsidR="001C52D7">
              <w:rPr>
                <w:noProof/>
                <w:webHidden/>
              </w:rPr>
              <w:instrText xml:space="preserve"> PAGEREF _Toc110257869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5E884E13" w14:textId="7C469873" w:rsidR="001C52D7" w:rsidRDefault="00350BF8">
          <w:pPr>
            <w:pStyle w:val="TOC2"/>
            <w:tabs>
              <w:tab w:val="right" w:leader="dot" w:pos="9016"/>
            </w:tabs>
            <w:rPr>
              <w:rFonts w:eastAsiaTheme="minorEastAsia"/>
              <w:noProof/>
              <w:lang w:eastAsia="en-NZ"/>
            </w:rPr>
          </w:pPr>
          <w:hyperlink w:anchor="_Toc110257870"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_Toc110257870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2E280632" w14:textId="427B2221" w:rsidR="001C52D7" w:rsidRDefault="00350BF8">
          <w:pPr>
            <w:pStyle w:val="TOC1"/>
            <w:tabs>
              <w:tab w:val="right" w:leader="dot" w:pos="9016"/>
            </w:tabs>
            <w:rPr>
              <w:rFonts w:eastAsiaTheme="minorEastAsia"/>
              <w:noProof/>
              <w:lang w:eastAsia="en-NZ"/>
            </w:rPr>
          </w:pPr>
          <w:hyperlink w:anchor="_Toc110257871" w:history="1">
            <w:r w:rsidR="001C52D7" w:rsidRPr="00117F64">
              <w:rPr>
                <w:rStyle w:val="Hyperlink"/>
                <w:b/>
                <w:bCs/>
                <w:noProof/>
              </w:rPr>
              <w:t>Standards</w:t>
            </w:r>
            <w:r w:rsidR="001C52D7">
              <w:rPr>
                <w:noProof/>
                <w:webHidden/>
              </w:rPr>
              <w:tab/>
            </w:r>
            <w:r w:rsidR="001C52D7">
              <w:rPr>
                <w:noProof/>
                <w:webHidden/>
              </w:rPr>
              <w:fldChar w:fldCharType="begin"/>
            </w:r>
            <w:r w:rsidR="001C52D7">
              <w:rPr>
                <w:noProof/>
                <w:webHidden/>
              </w:rPr>
              <w:instrText xml:space="preserve"> PAGEREF _Toc110257871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50827717" w14:textId="2A112F42" w:rsidR="001C52D7" w:rsidRDefault="00350BF8">
          <w:pPr>
            <w:pStyle w:val="TOC2"/>
            <w:tabs>
              <w:tab w:val="right" w:leader="dot" w:pos="9016"/>
            </w:tabs>
            <w:rPr>
              <w:rFonts w:eastAsiaTheme="minorEastAsia"/>
              <w:noProof/>
              <w:lang w:eastAsia="en-NZ"/>
            </w:rPr>
          </w:pPr>
          <w:hyperlink w:anchor="_Toc110257872"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_Toc110257872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381F9FC6" w14:textId="3FB55266" w:rsidR="001C52D7" w:rsidRDefault="00350BF8">
          <w:pPr>
            <w:pStyle w:val="TOC1"/>
            <w:tabs>
              <w:tab w:val="right" w:leader="dot" w:pos="9016"/>
            </w:tabs>
            <w:rPr>
              <w:rFonts w:eastAsiaTheme="minorEastAsia"/>
              <w:noProof/>
              <w:lang w:eastAsia="en-NZ"/>
            </w:rPr>
          </w:pPr>
          <w:hyperlink w:anchor="_Toc110257873" w:history="1">
            <w:r w:rsidR="001C52D7" w:rsidRPr="00117F64">
              <w:rPr>
                <w:rStyle w:val="Hyperlink"/>
                <w:b/>
                <w:bCs/>
                <w:noProof/>
              </w:rPr>
              <w:t>HRC presentation preparation</w:t>
            </w:r>
            <w:r w:rsidR="001C52D7">
              <w:rPr>
                <w:noProof/>
                <w:webHidden/>
              </w:rPr>
              <w:tab/>
            </w:r>
            <w:r w:rsidR="001C52D7">
              <w:rPr>
                <w:noProof/>
                <w:webHidden/>
              </w:rPr>
              <w:fldChar w:fldCharType="begin"/>
            </w:r>
            <w:r w:rsidR="001C52D7">
              <w:rPr>
                <w:noProof/>
                <w:webHidden/>
              </w:rPr>
              <w:instrText xml:space="preserve"> PAGEREF _Toc110257873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3041306B" w14:textId="4C3A65C1" w:rsidR="001C52D7" w:rsidRDefault="00350BF8">
          <w:pPr>
            <w:pStyle w:val="TOC2"/>
            <w:tabs>
              <w:tab w:val="right" w:leader="dot" w:pos="9016"/>
            </w:tabs>
            <w:rPr>
              <w:rFonts w:eastAsiaTheme="minorEastAsia"/>
              <w:noProof/>
              <w:lang w:eastAsia="en-NZ"/>
            </w:rPr>
          </w:pPr>
          <w:hyperlink w:anchor="_Toc110257874"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_Toc110257874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4FEB4945" w14:textId="5F846FB3" w:rsidR="001C52D7" w:rsidRDefault="00350BF8">
          <w:pPr>
            <w:pStyle w:val="TOC1"/>
            <w:tabs>
              <w:tab w:val="right" w:leader="dot" w:pos="9016"/>
            </w:tabs>
            <w:rPr>
              <w:rFonts w:eastAsiaTheme="minorEastAsia"/>
              <w:noProof/>
              <w:lang w:eastAsia="en-NZ"/>
            </w:rPr>
          </w:pPr>
          <w:hyperlink w:anchor="_Toc110257875" w:history="1">
            <w:r w:rsidR="001C52D7" w:rsidRPr="00117F64">
              <w:rPr>
                <w:rStyle w:val="Hyperlink"/>
                <w:b/>
                <w:bCs/>
                <w:noProof/>
              </w:rPr>
              <w:t>HRC presentation</w:t>
            </w:r>
            <w:r w:rsidR="001C52D7">
              <w:rPr>
                <w:noProof/>
                <w:webHidden/>
              </w:rPr>
              <w:tab/>
            </w:r>
            <w:r w:rsidR="001C52D7">
              <w:rPr>
                <w:noProof/>
                <w:webHidden/>
              </w:rPr>
              <w:fldChar w:fldCharType="begin"/>
            </w:r>
            <w:r w:rsidR="001C52D7">
              <w:rPr>
                <w:noProof/>
                <w:webHidden/>
              </w:rPr>
              <w:instrText xml:space="preserve"> PAGEREF _Toc110257875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1066B216" w14:textId="25D80058" w:rsidR="001C52D7" w:rsidRDefault="00350BF8">
          <w:pPr>
            <w:pStyle w:val="TOC2"/>
            <w:tabs>
              <w:tab w:val="right" w:leader="dot" w:pos="9016"/>
            </w:tabs>
            <w:rPr>
              <w:rFonts w:eastAsiaTheme="minorEastAsia"/>
              <w:noProof/>
              <w:lang w:eastAsia="en-NZ"/>
            </w:rPr>
          </w:pPr>
          <w:hyperlink w:anchor="_Toc110257876"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_Toc110257876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4ECABD8C" w14:textId="56802411" w:rsidR="001C52D7" w:rsidRDefault="00350BF8">
          <w:pPr>
            <w:pStyle w:val="TOC1"/>
            <w:tabs>
              <w:tab w:val="right" w:leader="dot" w:pos="9016"/>
            </w:tabs>
            <w:rPr>
              <w:rFonts w:eastAsiaTheme="minorEastAsia"/>
              <w:noProof/>
              <w:lang w:eastAsia="en-NZ"/>
            </w:rPr>
          </w:pPr>
          <w:hyperlink w:anchor="_Toc110257877" w:history="1">
            <w:r w:rsidR="001C52D7" w:rsidRPr="00117F64">
              <w:rPr>
                <w:rStyle w:val="Hyperlink"/>
                <w:b/>
                <w:bCs/>
                <w:noProof/>
              </w:rPr>
              <w:t>Prioritisation Framework</w:t>
            </w:r>
            <w:r w:rsidR="001C52D7">
              <w:rPr>
                <w:noProof/>
                <w:webHidden/>
              </w:rPr>
              <w:tab/>
            </w:r>
            <w:r w:rsidR="001C52D7">
              <w:rPr>
                <w:noProof/>
                <w:webHidden/>
              </w:rPr>
              <w:fldChar w:fldCharType="begin"/>
            </w:r>
            <w:r w:rsidR="001C52D7">
              <w:rPr>
                <w:noProof/>
                <w:webHidden/>
              </w:rPr>
              <w:instrText xml:space="preserve"> PAGEREF _Toc110257877 \h </w:instrText>
            </w:r>
            <w:r w:rsidR="001C52D7">
              <w:rPr>
                <w:noProof/>
                <w:webHidden/>
              </w:rPr>
            </w:r>
            <w:r w:rsidR="001C52D7">
              <w:rPr>
                <w:noProof/>
                <w:webHidden/>
              </w:rPr>
              <w:fldChar w:fldCharType="separate"/>
            </w:r>
            <w:r w:rsidR="001C52D7">
              <w:rPr>
                <w:noProof/>
                <w:webHidden/>
              </w:rPr>
              <w:t>3</w:t>
            </w:r>
            <w:r w:rsidR="001C52D7">
              <w:rPr>
                <w:noProof/>
                <w:webHidden/>
              </w:rPr>
              <w:fldChar w:fldCharType="end"/>
            </w:r>
          </w:hyperlink>
        </w:p>
        <w:p w14:paraId="52D68F9B" w14:textId="646A3B16" w:rsidR="001C52D7" w:rsidRDefault="00350BF8">
          <w:pPr>
            <w:pStyle w:val="TOC2"/>
            <w:tabs>
              <w:tab w:val="right" w:leader="dot" w:pos="9016"/>
            </w:tabs>
            <w:rPr>
              <w:rFonts w:eastAsiaTheme="minorEastAsia"/>
              <w:noProof/>
              <w:lang w:eastAsia="en-NZ"/>
            </w:rPr>
          </w:pPr>
          <w:hyperlink w:anchor="_Toc110257878"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_Toc110257878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0C500ECB" w14:textId="580863AE" w:rsidR="001C52D7" w:rsidRDefault="00350BF8">
          <w:pPr>
            <w:pStyle w:val="TOC1"/>
            <w:tabs>
              <w:tab w:val="right" w:leader="dot" w:pos="9016"/>
            </w:tabs>
            <w:rPr>
              <w:rFonts w:eastAsiaTheme="minorEastAsia"/>
              <w:noProof/>
              <w:lang w:eastAsia="en-NZ"/>
            </w:rPr>
          </w:pPr>
          <w:hyperlink w:anchor="_Toc110257879" w:history="1">
            <w:r w:rsidR="001C52D7" w:rsidRPr="00117F64">
              <w:rPr>
                <w:rStyle w:val="Hyperlink"/>
                <w:b/>
                <w:bCs/>
                <w:noProof/>
              </w:rPr>
              <w:t>Update from Chair of XXXX Health and Disability Ethics Committee</w:t>
            </w:r>
            <w:r w:rsidR="001C52D7">
              <w:rPr>
                <w:noProof/>
                <w:webHidden/>
              </w:rPr>
              <w:tab/>
            </w:r>
            <w:r w:rsidR="001C52D7">
              <w:rPr>
                <w:noProof/>
                <w:webHidden/>
              </w:rPr>
              <w:fldChar w:fldCharType="begin"/>
            </w:r>
            <w:r w:rsidR="001C52D7">
              <w:rPr>
                <w:noProof/>
                <w:webHidden/>
              </w:rPr>
              <w:instrText xml:space="preserve"> PAGEREF _Toc110257879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76544148" w14:textId="4072E104" w:rsidR="001C52D7" w:rsidRDefault="00350BF8">
          <w:pPr>
            <w:pStyle w:val="TOC2"/>
            <w:tabs>
              <w:tab w:val="right" w:leader="dot" w:pos="9016"/>
            </w:tabs>
            <w:rPr>
              <w:rFonts w:eastAsiaTheme="minorEastAsia"/>
              <w:noProof/>
              <w:lang w:eastAsia="en-NZ"/>
            </w:rPr>
          </w:pPr>
          <w:hyperlink w:anchor="_Toc110257880"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_Toc110257880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1959688F" w14:textId="6922DD74" w:rsidR="001C52D7" w:rsidRDefault="00350BF8">
          <w:pPr>
            <w:pStyle w:val="TOC1"/>
            <w:tabs>
              <w:tab w:val="right" w:leader="dot" w:pos="9016"/>
            </w:tabs>
            <w:rPr>
              <w:rFonts w:eastAsiaTheme="minorEastAsia"/>
              <w:noProof/>
              <w:lang w:eastAsia="en-NZ"/>
            </w:rPr>
          </w:pPr>
          <w:hyperlink w:anchor="_Toc110257881" w:history="1">
            <w:r w:rsidR="001C52D7" w:rsidRPr="00117F64">
              <w:rPr>
                <w:rStyle w:val="Hyperlink"/>
                <w:b/>
                <w:bCs/>
                <w:noProof/>
              </w:rPr>
              <w:t>Clinical ethics query</w:t>
            </w:r>
            <w:r w:rsidR="001C52D7">
              <w:rPr>
                <w:noProof/>
                <w:webHidden/>
              </w:rPr>
              <w:tab/>
            </w:r>
            <w:r w:rsidR="001C52D7">
              <w:rPr>
                <w:noProof/>
                <w:webHidden/>
              </w:rPr>
              <w:fldChar w:fldCharType="begin"/>
            </w:r>
            <w:r w:rsidR="001C52D7">
              <w:rPr>
                <w:noProof/>
                <w:webHidden/>
              </w:rPr>
              <w:instrText xml:space="preserve"> PAGEREF _Toc110257881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160D041A" w14:textId="346D9C4C" w:rsidR="001C52D7" w:rsidRDefault="00350BF8">
          <w:pPr>
            <w:pStyle w:val="TOC2"/>
            <w:tabs>
              <w:tab w:val="right" w:leader="dot" w:pos="9016"/>
            </w:tabs>
            <w:rPr>
              <w:rFonts w:eastAsiaTheme="minorEastAsia"/>
              <w:noProof/>
              <w:lang w:eastAsia="en-NZ"/>
            </w:rPr>
          </w:pPr>
          <w:hyperlink w:anchor="_Toc110257882"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_Toc110257882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0C631E3C" w14:textId="37104F3A" w:rsidR="001C52D7" w:rsidRDefault="00350BF8">
          <w:pPr>
            <w:pStyle w:val="TOC1"/>
            <w:tabs>
              <w:tab w:val="right" w:leader="dot" w:pos="9016"/>
            </w:tabs>
            <w:rPr>
              <w:rFonts w:eastAsiaTheme="minorEastAsia"/>
              <w:noProof/>
              <w:lang w:eastAsia="en-NZ"/>
            </w:rPr>
          </w:pPr>
          <w:hyperlink w:anchor="_Toc110257883" w:history="1">
            <w:r w:rsidR="001C52D7" w:rsidRPr="00117F64">
              <w:rPr>
                <w:rStyle w:val="Hyperlink"/>
                <w:b/>
                <w:bCs/>
                <w:noProof/>
              </w:rPr>
              <w:t>Research involving participants who are unable to give informed consent</w:t>
            </w:r>
            <w:r w:rsidR="001C52D7">
              <w:rPr>
                <w:noProof/>
                <w:webHidden/>
              </w:rPr>
              <w:tab/>
            </w:r>
            <w:r w:rsidR="001C52D7">
              <w:rPr>
                <w:noProof/>
                <w:webHidden/>
              </w:rPr>
              <w:fldChar w:fldCharType="begin"/>
            </w:r>
            <w:r w:rsidR="001C52D7">
              <w:rPr>
                <w:noProof/>
                <w:webHidden/>
              </w:rPr>
              <w:instrText xml:space="preserve"> PAGEREF _Toc110257883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518B8D88" w14:textId="5ABFD1C1" w:rsidR="001C52D7" w:rsidRDefault="00350BF8">
          <w:pPr>
            <w:pStyle w:val="TOC2"/>
            <w:tabs>
              <w:tab w:val="right" w:leader="dot" w:pos="9016"/>
            </w:tabs>
            <w:rPr>
              <w:rFonts w:eastAsiaTheme="minorEastAsia"/>
              <w:noProof/>
              <w:lang w:eastAsia="en-NZ"/>
            </w:rPr>
          </w:pPr>
          <w:hyperlink w:anchor="_Toc110257884"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_Toc110257884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71C17AE9" w14:textId="3C8E7888" w:rsidR="001C52D7" w:rsidRDefault="00350BF8">
          <w:pPr>
            <w:pStyle w:val="TOC1"/>
            <w:tabs>
              <w:tab w:val="right" w:leader="dot" w:pos="9016"/>
            </w:tabs>
            <w:rPr>
              <w:rFonts w:eastAsiaTheme="minorEastAsia"/>
              <w:noProof/>
              <w:lang w:eastAsia="en-NZ"/>
            </w:rPr>
          </w:pPr>
          <w:hyperlink w:anchor="_Toc110257885" w:history="1">
            <w:r w:rsidR="001C52D7" w:rsidRPr="00117F64">
              <w:rPr>
                <w:rStyle w:val="Hyperlink"/>
                <w:b/>
                <w:bCs/>
                <w:noProof/>
              </w:rPr>
              <w:t>Work between meetings</w:t>
            </w:r>
            <w:r w:rsidR="001C52D7">
              <w:rPr>
                <w:noProof/>
                <w:webHidden/>
              </w:rPr>
              <w:tab/>
            </w:r>
            <w:r w:rsidR="001C52D7">
              <w:rPr>
                <w:noProof/>
                <w:webHidden/>
              </w:rPr>
              <w:fldChar w:fldCharType="begin"/>
            </w:r>
            <w:r w:rsidR="001C52D7">
              <w:rPr>
                <w:noProof/>
                <w:webHidden/>
              </w:rPr>
              <w:instrText xml:space="preserve"> PAGEREF _Toc110257885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26953B0D" w14:textId="3E4DC8A2" w:rsidR="001C52D7" w:rsidRDefault="00350BF8">
          <w:pPr>
            <w:pStyle w:val="TOC2"/>
            <w:tabs>
              <w:tab w:val="right" w:leader="dot" w:pos="9016"/>
            </w:tabs>
            <w:rPr>
              <w:rFonts w:eastAsiaTheme="minorEastAsia"/>
              <w:noProof/>
              <w:lang w:eastAsia="en-NZ"/>
            </w:rPr>
          </w:pPr>
          <w:hyperlink w:anchor="_Toc110257886" w:history="1">
            <w:r w:rsidR="001C52D7" w:rsidRPr="00117F64">
              <w:rPr>
                <w:rStyle w:val="Hyperlink"/>
                <w:b/>
                <w:bCs/>
                <w:noProof/>
              </w:rPr>
              <w:t>Actions</w:t>
            </w:r>
            <w:r w:rsidR="001C52D7">
              <w:rPr>
                <w:noProof/>
                <w:webHidden/>
              </w:rPr>
              <w:tab/>
            </w:r>
            <w:r w:rsidR="001C52D7">
              <w:rPr>
                <w:noProof/>
                <w:webHidden/>
              </w:rPr>
              <w:fldChar w:fldCharType="begin"/>
            </w:r>
            <w:r w:rsidR="001C52D7">
              <w:rPr>
                <w:noProof/>
                <w:webHidden/>
              </w:rPr>
              <w:instrText xml:space="preserve"> PAGEREF _Toc110257886 \h </w:instrText>
            </w:r>
            <w:r w:rsidR="001C52D7">
              <w:rPr>
                <w:noProof/>
                <w:webHidden/>
              </w:rPr>
            </w:r>
            <w:r w:rsidR="001C52D7">
              <w:rPr>
                <w:noProof/>
                <w:webHidden/>
              </w:rPr>
              <w:fldChar w:fldCharType="separate"/>
            </w:r>
            <w:r w:rsidR="001C52D7">
              <w:rPr>
                <w:noProof/>
                <w:webHidden/>
              </w:rPr>
              <w:t>4</w:t>
            </w:r>
            <w:r w:rsidR="001C52D7">
              <w:rPr>
                <w:noProof/>
                <w:webHidden/>
              </w:rPr>
              <w:fldChar w:fldCharType="end"/>
            </w:r>
          </w:hyperlink>
        </w:p>
        <w:p w14:paraId="1EB5CCB9" w14:textId="460725AF" w:rsidR="00C94EC6" w:rsidRPr="00C94EC6" w:rsidRDefault="007C77C8" w:rsidP="00C94EC6">
          <w:pPr>
            <w:rPr>
              <w:b/>
              <w:bCs/>
              <w:noProof/>
            </w:rPr>
          </w:pPr>
          <w:r w:rsidRPr="00C94EC6">
            <w:rPr>
              <w:b/>
              <w:bCs/>
              <w:noProof/>
            </w:rPr>
            <w:fldChar w:fldCharType="end"/>
          </w:r>
        </w:p>
      </w:sdtContent>
    </w:sdt>
    <w:p w14:paraId="755037B2" w14:textId="77F3FEF7" w:rsidR="001C52D7" w:rsidRPr="00C94EC6" w:rsidRDefault="001C52D7" w:rsidP="001C52D7">
      <w:pPr>
        <w:pStyle w:val="Heading1"/>
        <w:rPr>
          <w:b/>
          <w:bCs/>
          <w:color w:val="324F5C"/>
          <w:sz w:val="28"/>
          <w:szCs w:val="28"/>
        </w:rPr>
      </w:pPr>
      <w:bookmarkStart w:id="0" w:name="_Toc110257853"/>
      <w:r>
        <w:rPr>
          <w:b/>
          <w:bCs/>
          <w:color w:val="324F5C"/>
          <w:sz w:val="28"/>
          <w:szCs w:val="28"/>
        </w:rPr>
        <w:t>Attendees</w:t>
      </w:r>
      <w:bookmarkEnd w:id="0"/>
    </w:p>
    <w:p w14:paraId="638E5DC2" w14:textId="23409D9B" w:rsidR="00D91C65" w:rsidRPr="00C94EC6" w:rsidRDefault="00D91C65" w:rsidP="00136006">
      <w:pPr>
        <w:spacing w:before="60" w:after="60"/>
        <w:ind w:left="2160" w:hanging="2160"/>
        <w:rPr>
          <w:bCs/>
          <w:sz w:val="21"/>
          <w:szCs w:val="21"/>
        </w:rPr>
      </w:pPr>
      <w:r w:rsidRPr="00C94EC6">
        <w:rPr>
          <w:b/>
          <w:bCs/>
        </w:rPr>
        <w:t>NEAC members:</w:t>
      </w:r>
      <w:r w:rsidRPr="00C94EC6">
        <w:t xml:space="preserve"> </w:t>
      </w:r>
      <w:r w:rsidRPr="00C94EC6">
        <w:tab/>
      </w:r>
      <w:r w:rsidR="00136006" w:rsidRPr="00C94EC6">
        <w:rPr>
          <w:bCs/>
          <w:sz w:val="21"/>
          <w:szCs w:val="21"/>
        </w:rPr>
        <w:t>Shannon Hanrahan</w:t>
      </w:r>
      <w:r w:rsidR="00136006">
        <w:rPr>
          <w:bCs/>
          <w:sz w:val="21"/>
          <w:szCs w:val="21"/>
        </w:rPr>
        <w:t xml:space="preserve"> (Acting Chair), </w:t>
      </w:r>
      <w:r w:rsidRPr="00C94EC6">
        <w:rPr>
          <w:bCs/>
          <w:sz w:val="21"/>
          <w:szCs w:val="21"/>
        </w:rPr>
        <w:t xml:space="preserve">Dr Mary-Anne Woodnorth, Gordon Jackman, Dr Penny Haworth, Nora Parore, Lindsey MacDonald, </w:t>
      </w:r>
      <w:r w:rsidR="00A620A7">
        <w:rPr>
          <w:bCs/>
          <w:sz w:val="21"/>
          <w:szCs w:val="21"/>
        </w:rPr>
        <w:t xml:space="preserve">Dr </w:t>
      </w:r>
      <w:r w:rsidRPr="00C94EC6">
        <w:rPr>
          <w:bCs/>
          <w:sz w:val="21"/>
          <w:szCs w:val="21"/>
        </w:rPr>
        <w:t>Hansa Patel, Edmond Carrucan, Rochelle Style</w:t>
      </w:r>
    </w:p>
    <w:p w14:paraId="136D0134" w14:textId="6C1F81A5" w:rsidR="001D370D" w:rsidRDefault="00D91C65" w:rsidP="00D811D3">
      <w:pPr>
        <w:spacing w:before="60" w:after="60"/>
        <w:ind w:left="2160" w:hanging="2160"/>
        <w:rPr>
          <w:bCs/>
          <w:sz w:val="21"/>
          <w:szCs w:val="21"/>
        </w:rPr>
      </w:pPr>
      <w:r w:rsidRPr="00C94EC6">
        <w:rPr>
          <w:b/>
          <w:sz w:val="21"/>
          <w:szCs w:val="21"/>
        </w:rPr>
        <w:t>Guests:</w:t>
      </w:r>
      <w:r w:rsidRPr="00C94EC6">
        <w:rPr>
          <w:bCs/>
          <w:sz w:val="21"/>
          <w:szCs w:val="21"/>
        </w:rPr>
        <w:t xml:space="preserve"> </w:t>
      </w:r>
      <w:r w:rsidRPr="00C94EC6">
        <w:rPr>
          <w:bCs/>
          <w:sz w:val="21"/>
          <w:szCs w:val="21"/>
        </w:rPr>
        <w:tab/>
      </w:r>
      <w:r w:rsidR="001D370D">
        <w:rPr>
          <w:bCs/>
          <w:sz w:val="21"/>
          <w:szCs w:val="21"/>
        </w:rPr>
        <w:t>Nic Aagaard, Manager, Ethics, Ministry of Health</w:t>
      </w:r>
    </w:p>
    <w:p w14:paraId="0FBD7EDF" w14:textId="5CA8FD14" w:rsidR="00B07D19" w:rsidRPr="00B07D19" w:rsidRDefault="00B07D19" w:rsidP="00D811D3">
      <w:pPr>
        <w:spacing w:before="60" w:after="60"/>
        <w:ind w:left="2160" w:hanging="2160"/>
        <w:rPr>
          <w:bCs/>
          <w:sz w:val="21"/>
          <w:szCs w:val="21"/>
        </w:rPr>
      </w:pPr>
      <w:r w:rsidRPr="00B07D19">
        <w:rPr>
          <w:bCs/>
          <w:sz w:val="21"/>
          <w:szCs w:val="21"/>
        </w:rPr>
        <w:tab/>
        <w:t>NEAC Secretariat, Ethics, Ministry of Health</w:t>
      </w:r>
    </w:p>
    <w:p w14:paraId="1408E159" w14:textId="2B706F5D" w:rsidR="002B54A6" w:rsidRDefault="002B54A6" w:rsidP="001D370D">
      <w:pPr>
        <w:spacing w:before="60" w:after="60"/>
        <w:ind w:left="2160"/>
        <w:rPr>
          <w:bCs/>
          <w:sz w:val="21"/>
          <w:szCs w:val="21"/>
        </w:rPr>
      </w:pPr>
      <w:r>
        <w:rPr>
          <w:bCs/>
          <w:sz w:val="21"/>
          <w:szCs w:val="21"/>
        </w:rPr>
        <w:t xml:space="preserve">Sarah Jones, </w:t>
      </w:r>
      <w:r w:rsidR="00D811D3" w:rsidRPr="00D811D3">
        <w:rPr>
          <w:bCs/>
          <w:sz w:val="21"/>
          <w:szCs w:val="21"/>
        </w:rPr>
        <w:t>Principal Advisor, Regulatory Assurance</w:t>
      </w:r>
      <w:r w:rsidR="00D811D3">
        <w:rPr>
          <w:bCs/>
          <w:sz w:val="21"/>
          <w:szCs w:val="21"/>
        </w:rPr>
        <w:t xml:space="preserve">, Ministry of Health </w:t>
      </w:r>
    </w:p>
    <w:p w14:paraId="4ED0ED53" w14:textId="573C57ED" w:rsidR="00712767" w:rsidRDefault="00712767" w:rsidP="00D91C65">
      <w:pPr>
        <w:spacing w:before="60" w:after="60"/>
        <w:ind w:left="2160" w:hanging="2160"/>
        <w:rPr>
          <w:bCs/>
          <w:color w:val="000000" w:themeColor="text1"/>
          <w:sz w:val="21"/>
          <w:szCs w:val="21"/>
        </w:rPr>
      </w:pPr>
      <w:r w:rsidRPr="00712767">
        <w:rPr>
          <w:bCs/>
          <w:color w:val="000000" w:themeColor="text1"/>
          <w:sz w:val="21"/>
          <w:szCs w:val="21"/>
        </w:rPr>
        <w:tab/>
        <w:t>Monique Jonas</w:t>
      </w:r>
      <w:r>
        <w:rPr>
          <w:bCs/>
          <w:color w:val="000000" w:themeColor="text1"/>
          <w:sz w:val="21"/>
          <w:szCs w:val="21"/>
        </w:rPr>
        <w:t xml:space="preserve">, </w:t>
      </w:r>
      <w:r w:rsidR="00D811D3" w:rsidRPr="009F5669">
        <w:rPr>
          <w:bCs/>
          <w:color w:val="000000" w:themeColor="text1"/>
          <w:sz w:val="21"/>
          <w:szCs w:val="21"/>
        </w:rPr>
        <w:t>Health Research Council of New Zealand</w:t>
      </w:r>
    </w:p>
    <w:p w14:paraId="410600E1" w14:textId="71F647BF" w:rsidR="001D370D" w:rsidRDefault="001D370D" w:rsidP="001D370D">
      <w:pPr>
        <w:spacing w:before="60" w:after="60"/>
        <w:ind w:left="2160"/>
        <w:rPr>
          <w:bCs/>
          <w:color w:val="000000" w:themeColor="text1"/>
          <w:sz w:val="21"/>
          <w:szCs w:val="21"/>
        </w:rPr>
      </w:pPr>
      <w:r w:rsidRPr="00712767">
        <w:rPr>
          <w:bCs/>
          <w:color w:val="000000" w:themeColor="text1"/>
          <w:sz w:val="21"/>
          <w:szCs w:val="21"/>
        </w:rPr>
        <w:t>Lana Lon</w:t>
      </w:r>
      <w:r>
        <w:rPr>
          <w:bCs/>
          <w:color w:val="000000" w:themeColor="text1"/>
          <w:sz w:val="21"/>
          <w:szCs w:val="21"/>
        </w:rPr>
        <w:t xml:space="preserve">, </w:t>
      </w:r>
      <w:r w:rsidRPr="009F5669">
        <w:rPr>
          <w:bCs/>
          <w:color w:val="000000" w:themeColor="text1"/>
          <w:sz w:val="21"/>
          <w:szCs w:val="21"/>
        </w:rPr>
        <w:t>Health Research Council of New Zealand</w:t>
      </w:r>
    </w:p>
    <w:p w14:paraId="58E25A60" w14:textId="2AA769CA" w:rsidR="005A0494" w:rsidRPr="00712767" w:rsidRDefault="005A0494" w:rsidP="00D91C65">
      <w:pPr>
        <w:spacing w:before="60" w:after="60"/>
        <w:ind w:left="2160" w:hanging="2160"/>
        <w:rPr>
          <w:bCs/>
          <w:color w:val="000000" w:themeColor="text1"/>
          <w:sz w:val="21"/>
          <w:szCs w:val="21"/>
        </w:rPr>
      </w:pPr>
      <w:r>
        <w:rPr>
          <w:bCs/>
          <w:color w:val="000000" w:themeColor="text1"/>
          <w:sz w:val="21"/>
          <w:szCs w:val="21"/>
        </w:rPr>
        <w:tab/>
      </w:r>
      <w:r w:rsidR="002B54A6">
        <w:rPr>
          <w:bCs/>
          <w:color w:val="000000" w:themeColor="text1"/>
          <w:sz w:val="21"/>
          <w:szCs w:val="21"/>
        </w:rPr>
        <w:t>Catherine Garvey</w:t>
      </w:r>
      <w:r w:rsidR="00AA75AC">
        <w:rPr>
          <w:bCs/>
          <w:color w:val="000000" w:themeColor="text1"/>
          <w:sz w:val="21"/>
          <w:szCs w:val="21"/>
        </w:rPr>
        <w:t>, Chair</w:t>
      </w:r>
      <w:r w:rsidR="00FA363E">
        <w:rPr>
          <w:bCs/>
          <w:color w:val="000000" w:themeColor="text1"/>
          <w:sz w:val="21"/>
          <w:szCs w:val="21"/>
        </w:rPr>
        <w:t xml:space="preserve">, </w:t>
      </w:r>
      <w:r w:rsidR="00AA75AC">
        <w:rPr>
          <w:bCs/>
          <w:color w:val="000000" w:themeColor="text1"/>
          <w:sz w:val="21"/>
          <w:szCs w:val="21"/>
        </w:rPr>
        <w:t>Northern A H</w:t>
      </w:r>
      <w:r w:rsidR="00FA363E">
        <w:rPr>
          <w:bCs/>
          <w:color w:val="000000" w:themeColor="text1"/>
          <w:sz w:val="21"/>
          <w:szCs w:val="21"/>
        </w:rPr>
        <w:t>ealth and Disability Ethics Committee</w:t>
      </w:r>
    </w:p>
    <w:p w14:paraId="278E1645" w14:textId="1F0884BC" w:rsidR="00C94EC6" w:rsidRPr="00C94EC6" w:rsidRDefault="00C94EC6" w:rsidP="00C94EC6">
      <w:pPr>
        <w:spacing w:before="60" w:after="60"/>
        <w:ind w:left="2160" w:hanging="2160"/>
        <w:rPr>
          <w:bCs/>
          <w:sz w:val="21"/>
          <w:szCs w:val="21"/>
        </w:rPr>
      </w:pPr>
      <w:r w:rsidRPr="00C94EC6">
        <w:rPr>
          <w:b/>
          <w:sz w:val="21"/>
          <w:szCs w:val="21"/>
        </w:rPr>
        <w:t xml:space="preserve">Apologies: </w:t>
      </w:r>
      <w:r w:rsidRPr="00C94EC6">
        <w:rPr>
          <w:b/>
          <w:sz w:val="21"/>
          <w:szCs w:val="21"/>
        </w:rPr>
        <w:tab/>
      </w:r>
      <w:r w:rsidR="002B54A6" w:rsidRPr="002B54A6">
        <w:rPr>
          <w:bCs/>
          <w:sz w:val="21"/>
          <w:szCs w:val="21"/>
        </w:rPr>
        <w:t>Professor</w:t>
      </w:r>
      <w:r w:rsidR="002B54A6">
        <w:rPr>
          <w:b/>
          <w:sz w:val="21"/>
          <w:szCs w:val="21"/>
        </w:rPr>
        <w:t xml:space="preserve"> </w:t>
      </w:r>
      <w:r w:rsidRPr="00C94EC6">
        <w:rPr>
          <w:bCs/>
          <w:sz w:val="21"/>
          <w:szCs w:val="21"/>
        </w:rPr>
        <w:t>John McMillan (Chair), Associate Professor Vanessa Jordan, Dr Cindy Towns</w:t>
      </w:r>
    </w:p>
    <w:p w14:paraId="56820A21" w14:textId="77777777" w:rsidR="00B42210" w:rsidRPr="00C94EC6" w:rsidRDefault="00B42210" w:rsidP="00B42210">
      <w:pPr>
        <w:pStyle w:val="Heading1"/>
        <w:rPr>
          <w:b/>
          <w:bCs/>
          <w:color w:val="324F5C"/>
          <w:sz w:val="28"/>
          <w:szCs w:val="28"/>
        </w:rPr>
      </w:pPr>
      <w:bookmarkStart w:id="1" w:name="_Toc110257854"/>
      <w:bookmarkStart w:id="2" w:name="_Toc110257862"/>
      <w:r w:rsidRPr="00C94EC6">
        <w:rPr>
          <w:b/>
          <w:bCs/>
          <w:color w:val="324F5C"/>
          <w:sz w:val="28"/>
          <w:szCs w:val="28"/>
        </w:rPr>
        <w:t>Approval of the day’s agenda</w:t>
      </w:r>
      <w:bookmarkEnd w:id="1"/>
    </w:p>
    <w:p w14:paraId="55CB6B6E" w14:textId="41D471B6" w:rsidR="00B42210" w:rsidRDefault="00B42210" w:rsidP="00B42210">
      <w:pPr>
        <w:pStyle w:val="ListParagraph"/>
        <w:numPr>
          <w:ilvl w:val="0"/>
          <w:numId w:val="1"/>
        </w:numPr>
      </w:pPr>
      <w:r>
        <w:t xml:space="preserve">The day’s agenda was approved. </w:t>
      </w:r>
    </w:p>
    <w:p w14:paraId="69286E94" w14:textId="77777777" w:rsidR="00A93A86" w:rsidRPr="00C94EC6" w:rsidRDefault="00A93A86" w:rsidP="00A93A86">
      <w:pPr>
        <w:pStyle w:val="Heading2"/>
        <w:rPr>
          <w:b/>
          <w:bCs/>
          <w:color w:val="324F5C"/>
        </w:rPr>
      </w:pPr>
      <w:r w:rsidRPr="00C94EC6">
        <w:rPr>
          <w:b/>
          <w:bCs/>
          <w:color w:val="324F5C"/>
        </w:rPr>
        <w:t>Actions</w:t>
      </w:r>
    </w:p>
    <w:p w14:paraId="0E1B265E" w14:textId="34AD9B5F" w:rsidR="00A93A86" w:rsidRPr="00C94EC6" w:rsidRDefault="00A93A86" w:rsidP="00A93A86">
      <w:pPr>
        <w:pStyle w:val="ListParagraph"/>
        <w:numPr>
          <w:ilvl w:val="0"/>
          <w:numId w:val="18"/>
        </w:numPr>
      </w:pPr>
      <w:r w:rsidRPr="00C94EC6">
        <w:t xml:space="preserve">Secretariat to </w:t>
      </w:r>
      <w:r>
        <w:t>publish July agenda on NEAC website</w:t>
      </w:r>
      <w:r w:rsidRPr="00C94EC6">
        <w:t xml:space="preserve">. </w:t>
      </w:r>
    </w:p>
    <w:p w14:paraId="77E533D3" w14:textId="77777777" w:rsidR="00B42210" w:rsidRPr="00C94EC6" w:rsidRDefault="00B42210" w:rsidP="00B42210">
      <w:pPr>
        <w:pStyle w:val="Heading1"/>
        <w:rPr>
          <w:b/>
          <w:bCs/>
          <w:color w:val="324F5C"/>
          <w:sz w:val="28"/>
          <w:szCs w:val="28"/>
        </w:rPr>
      </w:pPr>
      <w:bookmarkStart w:id="3" w:name="_Toc110257855"/>
      <w:r w:rsidRPr="00C94EC6">
        <w:rPr>
          <w:b/>
          <w:bCs/>
          <w:color w:val="324F5C"/>
          <w:sz w:val="28"/>
          <w:szCs w:val="28"/>
        </w:rPr>
        <w:t>Declaration of Interests</w:t>
      </w:r>
      <w:bookmarkEnd w:id="3"/>
    </w:p>
    <w:p w14:paraId="2F020FD4" w14:textId="21D4B3AF" w:rsidR="00B42210" w:rsidRDefault="00B42210" w:rsidP="00B42210">
      <w:pPr>
        <w:pStyle w:val="ListParagraph"/>
        <w:numPr>
          <w:ilvl w:val="0"/>
          <w:numId w:val="1"/>
        </w:numPr>
      </w:pPr>
      <w:r>
        <w:t xml:space="preserve">It was asked if job titles should be included as a </w:t>
      </w:r>
      <w:r w:rsidR="00E71822">
        <w:t>DOI</w:t>
      </w:r>
      <w:r>
        <w:t xml:space="preserve"> and it was agreed that job titles should be added if there is a</w:t>
      </w:r>
      <w:r w:rsidR="00E71822">
        <w:t xml:space="preserve"> potential conflict of interest</w:t>
      </w:r>
      <w:r>
        <w:t xml:space="preserve">. </w:t>
      </w:r>
    </w:p>
    <w:p w14:paraId="7D25FA53" w14:textId="77777777" w:rsidR="00B42210" w:rsidRPr="00C94EC6" w:rsidRDefault="00B42210" w:rsidP="00B42210">
      <w:pPr>
        <w:pStyle w:val="Heading2"/>
        <w:rPr>
          <w:b/>
          <w:bCs/>
          <w:color w:val="324F5C"/>
        </w:rPr>
      </w:pPr>
      <w:bookmarkStart w:id="4" w:name="_Toc110257856"/>
      <w:r w:rsidRPr="00C94EC6">
        <w:rPr>
          <w:b/>
          <w:bCs/>
          <w:color w:val="324F5C"/>
        </w:rPr>
        <w:t>Actions</w:t>
      </w:r>
      <w:bookmarkEnd w:id="4"/>
    </w:p>
    <w:p w14:paraId="350138D7" w14:textId="77777777" w:rsidR="00B42210" w:rsidRPr="00C94EC6" w:rsidRDefault="00B42210" w:rsidP="00B42210">
      <w:pPr>
        <w:pStyle w:val="ListParagraph"/>
        <w:numPr>
          <w:ilvl w:val="0"/>
          <w:numId w:val="18"/>
        </w:numPr>
      </w:pPr>
      <w:r w:rsidRPr="00C94EC6">
        <w:t xml:space="preserve">Secretariat to update members’ recorded declarations of interests. </w:t>
      </w:r>
    </w:p>
    <w:p w14:paraId="0AEE5F29" w14:textId="77777777" w:rsidR="00B42210" w:rsidRPr="00C94EC6" w:rsidRDefault="00B42210" w:rsidP="00B42210">
      <w:pPr>
        <w:pStyle w:val="Heading1"/>
        <w:rPr>
          <w:b/>
          <w:bCs/>
          <w:color w:val="324F5C"/>
          <w:sz w:val="28"/>
          <w:szCs w:val="28"/>
        </w:rPr>
      </w:pPr>
      <w:bookmarkStart w:id="5" w:name="_Toc110257857"/>
      <w:r w:rsidRPr="00C94EC6">
        <w:rPr>
          <w:b/>
          <w:bCs/>
          <w:color w:val="324F5C"/>
          <w:sz w:val="28"/>
          <w:szCs w:val="28"/>
        </w:rPr>
        <w:t>Approval of minutes from NEAC’s</w:t>
      </w:r>
      <w:r>
        <w:rPr>
          <w:b/>
          <w:bCs/>
          <w:color w:val="324F5C"/>
          <w:sz w:val="28"/>
          <w:szCs w:val="28"/>
        </w:rPr>
        <w:t xml:space="preserve"> 26</w:t>
      </w:r>
      <w:r w:rsidRPr="00C94EC6">
        <w:rPr>
          <w:b/>
          <w:bCs/>
          <w:color w:val="324F5C"/>
          <w:sz w:val="28"/>
          <w:szCs w:val="28"/>
        </w:rPr>
        <w:t xml:space="preserve"> </w:t>
      </w:r>
      <w:r>
        <w:rPr>
          <w:b/>
          <w:bCs/>
          <w:color w:val="324F5C"/>
          <w:sz w:val="28"/>
          <w:szCs w:val="28"/>
        </w:rPr>
        <w:t>May 2022</w:t>
      </w:r>
      <w:r w:rsidRPr="00C94EC6">
        <w:rPr>
          <w:b/>
          <w:bCs/>
          <w:color w:val="324F5C"/>
          <w:sz w:val="28"/>
          <w:szCs w:val="28"/>
        </w:rPr>
        <w:t xml:space="preserve"> meeting</w:t>
      </w:r>
      <w:bookmarkEnd w:id="5"/>
      <w:r w:rsidRPr="00C94EC6">
        <w:rPr>
          <w:b/>
          <w:bCs/>
          <w:color w:val="324F5C"/>
          <w:sz w:val="28"/>
          <w:szCs w:val="28"/>
        </w:rPr>
        <w:t xml:space="preserve"> </w:t>
      </w:r>
    </w:p>
    <w:p w14:paraId="63BF6EA9" w14:textId="1BFD7FB5" w:rsidR="002F6078" w:rsidRDefault="00B42210" w:rsidP="002F6078">
      <w:pPr>
        <w:pStyle w:val="ListParagraph"/>
        <w:numPr>
          <w:ilvl w:val="0"/>
          <w:numId w:val="1"/>
        </w:numPr>
      </w:pPr>
      <w:r w:rsidRPr="00C94EC6">
        <w:t>Members approved the minutes from NEAC’s meeting on</w:t>
      </w:r>
      <w:r>
        <w:t xml:space="preserve"> 26 May 2022</w:t>
      </w:r>
      <w:r w:rsidRPr="00C94EC6">
        <w:t xml:space="preserve">. </w:t>
      </w:r>
    </w:p>
    <w:p w14:paraId="5C2E2FB8" w14:textId="77777777" w:rsidR="002F6078" w:rsidRPr="00C94EC6" w:rsidRDefault="002F6078" w:rsidP="002F6078">
      <w:pPr>
        <w:pStyle w:val="Heading2"/>
        <w:rPr>
          <w:b/>
          <w:bCs/>
          <w:color w:val="324F5C"/>
        </w:rPr>
      </w:pPr>
      <w:r w:rsidRPr="00C94EC6">
        <w:rPr>
          <w:b/>
          <w:bCs/>
          <w:color w:val="324F5C"/>
        </w:rPr>
        <w:t>Actions</w:t>
      </w:r>
    </w:p>
    <w:p w14:paraId="72E9939C" w14:textId="5236AC75" w:rsidR="002F6078" w:rsidRPr="00C94EC6" w:rsidRDefault="002F6078" w:rsidP="002F6078">
      <w:pPr>
        <w:pStyle w:val="ListParagraph"/>
        <w:numPr>
          <w:ilvl w:val="0"/>
          <w:numId w:val="18"/>
        </w:numPr>
      </w:pPr>
      <w:r w:rsidRPr="00C94EC6">
        <w:t xml:space="preserve">Secretariat to </w:t>
      </w:r>
      <w:r w:rsidR="00AA7FAD">
        <w:t>publish</w:t>
      </w:r>
      <w:r>
        <w:t xml:space="preserve"> May minutes </w:t>
      </w:r>
      <w:r w:rsidR="00AA7FAD">
        <w:t>on</w:t>
      </w:r>
      <w:r>
        <w:t xml:space="preserve"> NEAC website</w:t>
      </w:r>
      <w:r w:rsidRPr="00C94EC6">
        <w:t xml:space="preserve">. </w:t>
      </w:r>
    </w:p>
    <w:p w14:paraId="7E6CD498" w14:textId="77777777" w:rsidR="002F6078" w:rsidRDefault="002F6078" w:rsidP="002F6078"/>
    <w:p w14:paraId="2D2FD5A1" w14:textId="77777777" w:rsidR="00B42210" w:rsidRPr="00C94EC6" w:rsidRDefault="00B42210" w:rsidP="00B42210">
      <w:pPr>
        <w:pStyle w:val="Heading1"/>
        <w:rPr>
          <w:b/>
          <w:bCs/>
          <w:color w:val="324F5C"/>
          <w:sz w:val="28"/>
          <w:szCs w:val="28"/>
        </w:rPr>
      </w:pPr>
      <w:bookmarkStart w:id="6" w:name="_Toc110257858"/>
      <w:r>
        <w:rPr>
          <w:b/>
          <w:bCs/>
          <w:color w:val="324F5C"/>
          <w:sz w:val="28"/>
          <w:szCs w:val="28"/>
        </w:rPr>
        <w:lastRenderedPageBreak/>
        <w:t>Actions Arising</w:t>
      </w:r>
      <w:r w:rsidRPr="00C94EC6">
        <w:rPr>
          <w:b/>
          <w:bCs/>
          <w:color w:val="324F5C"/>
          <w:sz w:val="28"/>
          <w:szCs w:val="28"/>
        </w:rPr>
        <w:t xml:space="preserve"> from NEAC’s</w:t>
      </w:r>
      <w:r>
        <w:rPr>
          <w:b/>
          <w:bCs/>
          <w:color w:val="324F5C"/>
          <w:sz w:val="28"/>
          <w:szCs w:val="28"/>
        </w:rPr>
        <w:t xml:space="preserve"> 26</w:t>
      </w:r>
      <w:r w:rsidRPr="00C94EC6">
        <w:rPr>
          <w:b/>
          <w:bCs/>
          <w:color w:val="324F5C"/>
          <w:sz w:val="28"/>
          <w:szCs w:val="28"/>
        </w:rPr>
        <w:t xml:space="preserve"> </w:t>
      </w:r>
      <w:r>
        <w:rPr>
          <w:b/>
          <w:bCs/>
          <w:color w:val="324F5C"/>
          <w:sz w:val="28"/>
          <w:szCs w:val="28"/>
        </w:rPr>
        <w:t>May 2022</w:t>
      </w:r>
      <w:r w:rsidRPr="00C94EC6">
        <w:rPr>
          <w:b/>
          <w:bCs/>
          <w:color w:val="324F5C"/>
          <w:sz w:val="28"/>
          <w:szCs w:val="28"/>
        </w:rPr>
        <w:t xml:space="preserve"> meeting</w:t>
      </w:r>
      <w:bookmarkEnd w:id="6"/>
      <w:r w:rsidRPr="00C94EC6">
        <w:rPr>
          <w:b/>
          <w:bCs/>
          <w:color w:val="324F5C"/>
          <w:sz w:val="28"/>
          <w:szCs w:val="28"/>
        </w:rPr>
        <w:t xml:space="preserve"> </w:t>
      </w:r>
    </w:p>
    <w:p w14:paraId="3B44CDBB" w14:textId="07BFA6B2" w:rsidR="00B42210" w:rsidRDefault="00B42210" w:rsidP="00B42210">
      <w:pPr>
        <w:pStyle w:val="ListParagraph"/>
        <w:numPr>
          <w:ilvl w:val="0"/>
          <w:numId w:val="1"/>
        </w:numPr>
      </w:pPr>
      <w:r>
        <w:t xml:space="preserve">The Chair asked the Secretariat if there are any outstanding actions from last meeting and the Secretariat informed NEAC that there are a number of actions currently in progress. </w:t>
      </w:r>
    </w:p>
    <w:p w14:paraId="2662E601" w14:textId="77777777" w:rsidR="00B42210" w:rsidRPr="00C94EC6" w:rsidRDefault="00B42210" w:rsidP="00B42210">
      <w:pPr>
        <w:pStyle w:val="Heading1"/>
        <w:rPr>
          <w:b/>
          <w:bCs/>
          <w:color w:val="324F5C"/>
          <w:sz w:val="28"/>
          <w:szCs w:val="28"/>
        </w:rPr>
      </w:pPr>
      <w:bookmarkStart w:id="7" w:name="_Toc110257859"/>
      <w:r w:rsidRPr="00C94EC6">
        <w:rPr>
          <w:b/>
          <w:bCs/>
          <w:color w:val="324F5C"/>
          <w:sz w:val="28"/>
          <w:szCs w:val="28"/>
        </w:rPr>
        <w:t>Chair’s update</w:t>
      </w:r>
      <w:bookmarkEnd w:id="7"/>
    </w:p>
    <w:p w14:paraId="1DEC6CB7" w14:textId="0B28EABD" w:rsidR="00EA14A4" w:rsidRDefault="00B42210" w:rsidP="00B42210">
      <w:pPr>
        <w:pStyle w:val="ListParagraph"/>
        <w:numPr>
          <w:ilvl w:val="0"/>
          <w:numId w:val="1"/>
        </w:numPr>
      </w:pPr>
      <w:r>
        <w:t>The Chair</w:t>
      </w:r>
      <w:r w:rsidR="00EA14A4">
        <w:t xml:space="preserve"> informed the Committee that the Māori members of NEAC are meeting in a subgroup next week to discuss how they can best work together as individuals and as a collective, and to discuss further goals and principles of the group. </w:t>
      </w:r>
    </w:p>
    <w:p w14:paraId="1D8A3AD7" w14:textId="1AB060B9" w:rsidR="00B42210" w:rsidRPr="00D834E0" w:rsidRDefault="00EA14A4" w:rsidP="00E72820">
      <w:pPr>
        <w:pStyle w:val="ListParagraph"/>
        <w:numPr>
          <w:ilvl w:val="0"/>
          <w:numId w:val="1"/>
        </w:numPr>
        <w:rPr>
          <w:color w:val="FF0000"/>
        </w:rPr>
      </w:pPr>
      <w:r>
        <w:t xml:space="preserve">The </w:t>
      </w:r>
      <w:r w:rsidR="00B42210">
        <w:t xml:space="preserve">Chair discussed the potential of further engagement with ACART </w:t>
      </w:r>
      <w:r>
        <w:t>around developing a shared approach to engaging with Māori</w:t>
      </w:r>
      <w:r w:rsidR="0074231E">
        <w:t xml:space="preserve"> and other stakeholders</w:t>
      </w:r>
      <w:r w:rsidR="00B42210">
        <w:t xml:space="preserve">. </w:t>
      </w:r>
    </w:p>
    <w:p w14:paraId="47C77B89" w14:textId="77777777" w:rsidR="00B42210" w:rsidRPr="00C94EC6" w:rsidRDefault="00B42210" w:rsidP="00B42210">
      <w:pPr>
        <w:pStyle w:val="Heading1"/>
        <w:rPr>
          <w:b/>
          <w:bCs/>
          <w:color w:val="324F5C"/>
          <w:sz w:val="28"/>
          <w:szCs w:val="28"/>
        </w:rPr>
      </w:pPr>
      <w:bookmarkStart w:id="8" w:name="_Toc110257861"/>
      <w:r w:rsidRPr="00C94EC6">
        <w:rPr>
          <w:b/>
          <w:bCs/>
          <w:color w:val="324F5C"/>
          <w:sz w:val="28"/>
          <w:szCs w:val="28"/>
        </w:rPr>
        <w:t>Secretariat update</w:t>
      </w:r>
      <w:bookmarkEnd w:id="8"/>
    </w:p>
    <w:p w14:paraId="56D72A64" w14:textId="735ED4CA" w:rsidR="00EA14A4" w:rsidRDefault="00EA14A4" w:rsidP="00B42210">
      <w:pPr>
        <w:pStyle w:val="ListParagraph"/>
        <w:numPr>
          <w:ilvl w:val="0"/>
          <w:numId w:val="1"/>
        </w:numPr>
      </w:pPr>
      <w:r>
        <w:t xml:space="preserve">The Manager of the Ethics team gave a staffing update, including informing NEAC of a new Assistant Advisor will be supporting NEAC. </w:t>
      </w:r>
    </w:p>
    <w:p w14:paraId="18162F4A" w14:textId="79F37640" w:rsidR="00652CD2" w:rsidRDefault="00652CD2" w:rsidP="00B42210">
      <w:pPr>
        <w:pStyle w:val="ListParagraph"/>
        <w:numPr>
          <w:ilvl w:val="0"/>
          <w:numId w:val="1"/>
        </w:numPr>
      </w:pPr>
      <w:r>
        <w:t xml:space="preserve">The Manager of the Ethics team also gave an update on the Health System </w:t>
      </w:r>
      <w:r w:rsidR="005A08F6">
        <w:t>changes</w:t>
      </w:r>
      <w:r>
        <w:t xml:space="preserve">, </w:t>
      </w:r>
      <w:r w:rsidR="005A08F6">
        <w:t>including</w:t>
      </w:r>
      <w:r>
        <w:t xml:space="preserve"> that the Ethics team now sits in a new directorate called Regulatory Services</w:t>
      </w:r>
    </w:p>
    <w:p w14:paraId="7BB1DB78" w14:textId="24AEEE89" w:rsidR="00174643" w:rsidRPr="00C94EC6" w:rsidRDefault="00B8403B" w:rsidP="00174643">
      <w:pPr>
        <w:pStyle w:val="Heading1"/>
        <w:rPr>
          <w:b/>
          <w:bCs/>
          <w:color w:val="324F5C"/>
          <w:sz w:val="28"/>
          <w:szCs w:val="28"/>
        </w:rPr>
      </w:pPr>
      <w:bookmarkStart w:id="9" w:name="_Toc110257863"/>
      <w:bookmarkEnd w:id="2"/>
      <w:r w:rsidRPr="00C94EC6">
        <w:rPr>
          <w:b/>
          <w:bCs/>
          <w:color w:val="324F5C"/>
          <w:sz w:val="28"/>
          <w:szCs w:val="28"/>
        </w:rPr>
        <w:t>WHO Meeting in Portugal</w:t>
      </w:r>
      <w:bookmarkEnd w:id="9"/>
      <w:r w:rsidR="00174643" w:rsidRPr="00C94EC6">
        <w:rPr>
          <w:b/>
          <w:bCs/>
          <w:color w:val="324F5C"/>
          <w:sz w:val="28"/>
          <w:szCs w:val="28"/>
        </w:rPr>
        <w:t xml:space="preserve"> </w:t>
      </w:r>
    </w:p>
    <w:p w14:paraId="1C02C5F6" w14:textId="33A38C9C" w:rsidR="00174643" w:rsidRDefault="00174643" w:rsidP="00C94EC6">
      <w:pPr>
        <w:pStyle w:val="ListParagraph"/>
        <w:numPr>
          <w:ilvl w:val="0"/>
          <w:numId w:val="1"/>
        </w:numPr>
      </w:pPr>
      <w:r w:rsidRPr="00B42210">
        <w:t xml:space="preserve"> </w:t>
      </w:r>
      <w:r w:rsidR="005A08F6">
        <w:t xml:space="preserve">The Manager of the Ethics team updated NEAC on the WHO Global Summit of National Bioethics Committees in Portugal, 15-17 September 2022, which </w:t>
      </w:r>
      <w:r w:rsidR="009479F7">
        <w:t>he will be attending.</w:t>
      </w:r>
      <w:r w:rsidR="005A08F6">
        <w:t xml:space="preserve"> </w:t>
      </w:r>
      <w:r w:rsidR="009479F7">
        <w:t>T</w:t>
      </w:r>
      <w:r w:rsidR="0074231E">
        <w:t>he NEAC Chair</w:t>
      </w:r>
      <w:r w:rsidR="009479F7">
        <w:t xml:space="preserve"> may attend also</w:t>
      </w:r>
      <w:r w:rsidR="005A08F6">
        <w:t xml:space="preserve">. He shared a draft agenda of the meeting. </w:t>
      </w:r>
    </w:p>
    <w:p w14:paraId="18079100" w14:textId="6F8A5B98" w:rsidR="00B42210" w:rsidRDefault="005A08F6" w:rsidP="00C94EC6">
      <w:pPr>
        <w:pStyle w:val="ListParagraph"/>
        <w:numPr>
          <w:ilvl w:val="0"/>
          <w:numId w:val="1"/>
        </w:numPr>
      </w:pPr>
      <w:r>
        <w:t xml:space="preserve">He noted that the Steering Committee is particularly interested in NEAC’s work with indigenous populations and so </w:t>
      </w:r>
      <w:r w:rsidR="007D2BA6">
        <w:t xml:space="preserve">he </w:t>
      </w:r>
      <w:r>
        <w:t>will be presenting on research with Māori</w:t>
      </w:r>
      <w:r w:rsidR="00AF48C5">
        <w:t xml:space="preserve">, the Māori Health Authority, the Partnership of Principles and taking a strengths-based rather than deficit-based approach to indigenous populations. </w:t>
      </w:r>
    </w:p>
    <w:p w14:paraId="1F932155" w14:textId="628E14F7" w:rsidR="00AF48C5" w:rsidRDefault="00A2360E" w:rsidP="00C94EC6">
      <w:pPr>
        <w:pStyle w:val="ListParagraph"/>
        <w:numPr>
          <w:ilvl w:val="0"/>
          <w:numId w:val="1"/>
        </w:numPr>
      </w:pPr>
      <w:r>
        <w:t xml:space="preserve">It was agreed that the Manager of Ethics would work with the Rangatiratanga </w:t>
      </w:r>
      <w:r w:rsidR="007D2BA6">
        <w:t>R</w:t>
      </w:r>
      <w:r>
        <w:t xml:space="preserve">oopu on this presentation. </w:t>
      </w:r>
    </w:p>
    <w:p w14:paraId="1E5597AF" w14:textId="3A86731A" w:rsidR="00A2360E" w:rsidRDefault="00A2360E" w:rsidP="00C94EC6">
      <w:pPr>
        <w:pStyle w:val="ListParagraph"/>
        <w:numPr>
          <w:ilvl w:val="0"/>
          <w:numId w:val="1"/>
        </w:numPr>
      </w:pPr>
      <w:r>
        <w:t xml:space="preserve">It was suggested that the Government’s acceptance of equity and provision of health services as Treaty Principles could be discussed in the presentation. It was noted that this is an opportunity to present something unique from NEAC’s perspective regarding aspirations around partnership with Māori and what this looks like within a global discussion around the role of indigenous people. </w:t>
      </w:r>
    </w:p>
    <w:p w14:paraId="3C83B1B5" w14:textId="40BB9592" w:rsidR="00174643" w:rsidRPr="00C94EC6" w:rsidRDefault="00174643" w:rsidP="00174643">
      <w:pPr>
        <w:pStyle w:val="Heading2"/>
        <w:rPr>
          <w:b/>
          <w:bCs/>
          <w:color w:val="324F5C"/>
        </w:rPr>
      </w:pPr>
      <w:bookmarkStart w:id="10" w:name="_Toc110257864"/>
      <w:r w:rsidRPr="00C94EC6">
        <w:rPr>
          <w:b/>
          <w:bCs/>
          <w:color w:val="324F5C"/>
        </w:rPr>
        <w:t>Actions</w:t>
      </w:r>
      <w:bookmarkEnd w:id="10"/>
    </w:p>
    <w:p w14:paraId="1A188D70" w14:textId="7CECE211" w:rsidR="00174643" w:rsidRPr="0049191E" w:rsidRDefault="00AF48C5" w:rsidP="007C77C8">
      <w:pPr>
        <w:pStyle w:val="ListParagraph"/>
        <w:numPr>
          <w:ilvl w:val="0"/>
          <w:numId w:val="8"/>
        </w:numPr>
      </w:pPr>
      <w:r w:rsidRPr="0049191E">
        <w:t>Manager of Ethics to circulate next</w:t>
      </w:r>
      <w:r w:rsidR="0049191E">
        <w:t xml:space="preserve"> Steering Committee</w:t>
      </w:r>
      <w:r w:rsidRPr="0049191E">
        <w:t xml:space="preserve"> agenda </w:t>
      </w:r>
      <w:r w:rsidR="0049191E">
        <w:t>to</w:t>
      </w:r>
      <w:r w:rsidRPr="0049191E">
        <w:t xml:space="preserve"> NEAC. NEAC members to send any questions through to the Manager of Ethics, to be fed back to the Steering Committee. </w:t>
      </w:r>
    </w:p>
    <w:p w14:paraId="4790E50A" w14:textId="5D0AFA2A" w:rsidR="007C77C8" w:rsidRPr="00C94EC6" w:rsidRDefault="00B8403B" w:rsidP="007C77C8">
      <w:pPr>
        <w:pStyle w:val="Heading1"/>
        <w:rPr>
          <w:b/>
          <w:bCs/>
          <w:color w:val="324F5C"/>
          <w:sz w:val="28"/>
          <w:szCs w:val="28"/>
        </w:rPr>
      </w:pPr>
      <w:bookmarkStart w:id="11" w:name="_Toc110257865"/>
      <w:r w:rsidRPr="00C94EC6">
        <w:rPr>
          <w:b/>
          <w:bCs/>
          <w:color w:val="324F5C"/>
          <w:sz w:val="28"/>
          <w:szCs w:val="28"/>
        </w:rPr>
        <w:t>IEC and HDEC Ethics Committee Training</w:t>
      </w:r>
      <w:bookmarkEnd w:id="11"/>
    </w:p>
    <w:p w14:paraId="1CAF9603" w14:textId="75C313C0" w:rsidR="007C77C8" w:rsidRDefault="00E236AB" w:rsidP="00C94EC6">
      <w:pPr>
        <w:pStyle w:val="ListParagraph"/>
        <w:numPr>
          <w:ilvl w:val="0"/>
          <w:numId w:val="1"/>
        </w:numPr>
      </w:pPr>
      <w:r>
        <w:t>The Manager of Ethics discussed t</w:t>
      </w:r>
      <w:r w:rsidR="00065A48">
        <w:t xml:space="preserve">raining </w:t>
      </w:r>
      <w:r>
        <w:t xml:space="preserve">for </w:t>
      </w:r>
      <w:r w:rsidR="00065A48">
        <w:t>Ethics Committee members</w:t>
      </w:r>
      <w:r w:rsidR="009C33A1">
        <w:t xml:space="preserve"> in the health research space (including HDEC members, institutional ethics committee members and H</w:t>
      </w:r>
      <w:r w:rsidR="00035DF5">
        <w:t xml:space="preserve">ealth </w:t>
      </w:r>
      <w:r w:rsidR="009C33A1">
        <w:t>R</w:t>
      </w:r>
      <w:r w:rsidR="00035DF5">
        <w:t xml:space="preserve">esearch </w:t>
      </w:r>
      <w:r w:rsidR="009C33A1">
        <w:t>C</w:t>
      </w:r>
      <w:r w:rsidR="00035DF5">
        <w:t xml:space="preserve">ouncil </w:t>
      </w:r>
      <w:r w:rsidR="009C33A1">
        <w:t>E</w:t>
      </w:r>
      <w:r w:rsidR="00035DF5">
        <w:t xml:space="preserve">thics </w:t>
      </w:r>
      <w:r w:rsidR="009C33A1">
        <w:t>C</w:t>
      </w:r>
      <w:r w:rsidR="00035DF5">
        <w:t>ommittee</w:t>
      </w:r>
      <w:r w:rsidR="009C33A1">
        <w:t xml:space="preserve"> members)</w:t>
      </w:r>
      <w:r w:rsidR="009769EA">
        <w:t xml:space="preserve">. </w:t>
      </w:r>
    </w:p>
    <w:p w14:paraId="6B66F97E" w14:textId="67446B30" w:rsidR="00883106" w:rsidRDefault="00035DF5" w:rsidP="00924120">
      <w:pPr>
        <w:pStyle w:val="ListParagraph"/>
        <w:numPr>
          <w:ilvl w:val="0"/>
          <w:numId w:val="1"/>
        </w:numPr>
      </w:pPr>
      <w:r>
        <w:t>He noted that the H</w:t>
      </w:r>
      <w:r w:rsidR="00690BAC">
        <w:t xml:space="preserve">ealth Research </w:t>
      </w:r>
      <w:r>
        <w:t>C</w:t>
      </w:r>
      <w:r w:rsidR="00690BAC">
        <w:t>ouncil</w:t>
      </w:r>
      <w:r>
        <w:t xml:space="preserve"> </w:t>
      </w:r>
      <w:r w:rsidR="00E559C0">
        <w:t xml:space="preserve">(HRC) </w:t>
      </w:r>
      <w:r w:rsidR="00924120">
        <w:t xml:space="preserve">were holding a meeting where this would be discussed on 29 July 2022 and asked NEAC members to consider what they would like the Secretariat to feed back into that meeting, regarding </w:t>
      </w:r>
      <w:r w:rsidR="00971D65">
        <w:t>the best ways to train existing and new ethics committee members</w:t>
      </w:r>
      <w:r w:rsidR="00924120">
        <w:t xml:space="preserve"> in the health </w:t>
      </w:r>
      <w:r w:rsidR="00C80A6D">
        <w:t>research</w:t>
      </w:r>
      <w:r w:rsidR="00924120">
        <w:t xml:space="preserve"> space</w:t>
      </w:r>
      <w:r w:rsidR="00C80A6D">
        <w:t>.</w:t>
      </w:r>
      <w:r w:rsidR="00971D65">
        <w:t xml:space="preserve"> </w:t>
      </w:r>
    </w:p>
    <w:p w14:paraId="7DC88CA2" w14:textId="3B90D013" w:rsidR="00B1063E" w:rsidRDefault="00F748CD" w:rsidP="00C94EC6">
      <w:pPr>
        <w:pStyle w:val="ListParagraph"/>
        <w:numPr>
          <w:ilvl w:val="0"/>
          <w:numId w:val="1"/>
        </w:numPr>
      </w:pPr>
      <w:r>
        <w:lastRenderedPageBreak/>
        <w:t>NEAC discussed</w:t>
      </w:r>
      <w:r w:rsidR="00B30F90">
        <w:t xml:space="preserve"> the issue of</w:t>
      </w:r>
      <w:r w:rsidR="008938BD">
        <w:t xml:space="preserve"> national ethical standards for</w:t>
      </w:r>
      <w:r w:rsidR="00B30F90">
        <w:t xml:space="preserve"> social science research</w:t>
      </w:r>
      <w:r>
        <w:t xml:space="preserve">, and the definition of ‘ethics committee’. </w:t>
      </w:r>
    </w:p>
    <w:p w14:paraId="3D8B2D76" w14:textId="0AC75D02" w:rsidR="00F15EEC" w:rsidRDefault="00F15EEC" w:rsidP="00C94EC6">
      <w:pPr>
        <w:pStyle w:val="ListParagraph"/>
        <w:numPr>
          <w:ilvl w:val="0"/>
          <w:numId w:val="1"/>
        </w:numPr>
      </w:pPr>
      <w:r>
        <w:t xml:space="preserve">A member raised </w:t>
      </w:r>
      <w:r w:rsidR="00DC30BE">
        <w:t xml:space="preserve">the fact that </w:t>
      </w:r>
      <w:r w:rsidR="00C80A6D">
        <w:t>university</w:t>
      </w:r>
      <w:r w:rsidR="00DC30BE">
        <w:t xml:space="preserve"> ethics committees do not always follow the National Ethical Standards for Health and Disabilit</w:t>
      </w:r>
      <w:r w:rsidR="00D74DE9">
        <w:t>y Research</w:t>
      </w:r>
      <w:r w:rsidR="00DC30BE">
        <w:t xml:space="preserve">, </w:t>
      </w:r>
      <w:r w:rsidR="00C80A6D">
        <w:t xml:space="preserve">in the interest of </w:t>
      </w:r>
      <w:r w:rsidR="00066DC4">
        <w:t xml:space="preserve">approving research so that students can complete their research projects. </w:t>
      </w:r>
      <w:r w:rsidR="00BC4509">
        <w:t xml:space="preserve">The member </w:t>
      </w:r>
      <w:r w:rsidR="00066DC4">
        <w:t>noted</w:t>
      </w:r>
      <w:r w:rsidR="00BC4509">
        <w:t xml:space="preserve"> that this raises a question of what students need in order to be able to </w:t>
      </w:r>
      <w:r w:rsidR="0072758A">
        <w:t>do high-quality, methodologically sound, ethical research.</w:t>
      </w:r>
    </w:p>
    <w:p w14:paraId="78864E09" w14:textId="77777777" w:rsidR="007C77C8" w:rsidRPr="00E559C0" w:rsidRDefault="007C77C8" w:rsidP="007C77C8">
      <w:pPr>
        <w:pStyle w:val="Heading2"/>
        <w:rPr>
          <w:b/>
          <w:bCs/>
          <w:color w:val="auto"/>
        </w:rPr>
      </w:pPr>
      <w:bookmarkStart w:id="12" w:name="_Toc110257866"/>
      <w:r w:rsidRPr="00C94EC6">
        <w:rPr>
          <w:b/>
          <w:bCs/>
          <w:color w:val="324F5C"/>
        </w:rPr>
        <w:t>Actions</w:t>
      </w:r>
      <w:bookmarkEnd w:id="12"/>
    </w:p>
    <w:p w14:paraId="43C05768" w14:textId="2A408ACB" w:rsidR="00B8403B" w:rsidRPr="009073D5" w:rsidRDefault="00066DC4" w:rsidP="00B8403B">
      <w:pPr>
        <w:pStyle w:val="ListParagraph"/>
        <w:numPr>
          <w:ilvl w:val="0"/>
          <w:numId w:val="8"/>
        </w:numPr>
      </w:pPr>
      <w:r w:rsidRPr="009073D5">
        <w:t>Secretariat to raise discussion points above with the HRC</w:t>
      </w:r>
      <w:r w:rsidR="00E559C0" w:rsidRPr="009073D5">
        <w:t xml:space="preserve">. </w:t>
      </w:r>
    </w:p>
    <w:p w14:paraId="7160A0B4" w14:textId="32831477" w:rsidR="00B8403B" w:rsidRPr="00C94EC6" w:rsidRDefault="00B8403B" w:rsidP="00B8403B">
      <w:pPr>
        <w:pStyle w:val="Heading1"/>
        <w:rPr>
          <w:b/>
          <w:bCs/>
          <w:color w:val="324F5C"/>
          <w:sz w:val="28"/>
          <w:szCs w:val="28"/>
        </w:rPr>
      </w:pPr>
      <w:bookmarkStart w:id="13" w:name="_Toc110257867"/>
      <w:r w:rsidRPr="00C94EC6">
        <w:rPr>
          <w:b/>
          <w:bCs/>
          <w:color w:val="324F5C"/>
          <w:sz w:val="28"/>
          <w:szCs w:val="28"/>
        </w:rPr>
        <w:t>Safe Areas presentation</w:t>
      </w:r>
      <w:bookmarkEnd w:id="13"/>
    </w:p>
    <w:p w14:paraId="460D6E9B" w14:textId="1A057ACB" w:rsidR="00B8403B" w:rsidRDefault="00412A52" w:rsidP="00C94EC6">
      <w:pPr>
        <w:pStyle w:val="ListParagraph"/>
        <w:numPr>
          <w:ilvl w:val="0"/>
          <w:numId w:val="1"/>
        </w:numPr>
      </w:pPr>
      <w:r w:rsidRPr="00412A52">
        <w:t xml:space="preserve">Sarah Jones from </w:t>
      </w:r>
      <w:r w:rsidR="007A6D98">
        <w:t xml:space="preserve">the Regulatory Assurance team at the Ministry of Health delivered a presentation to NEAC on the implementation </w:t>
      </w:r>
      <w:r w:rsidR="00273EC8">
        <w:t xml:space="preserve">of </w:t>
      </w:r>
      <w:r w:rsidR="003B68D7">
        <w:t xml:space="preserve">Abortion Safe Areas. </w:t>
      </w:r>
    </w:p>
    <w:p w14:paraId="47C9FA5B" w14:textId="3757D00E" w:rsidR="00327F96" w:rsidRDefault="000B3958" w:rsidP="00C94EC6">
      <w:pPr>
        <w:pStyle w:val="ListParagraph"/>
        <w:numPr>
          <w:ilvl w:val="0"/>
          <w:numId w:val="1"/>
        </w:numPr>
      </w:pPr>
      <w:r>
        <w:t xml:space="preserve">Sarah explained that </w:t>
      </w:r>
      <w:r w:rsidR="003D5953">
        <w:t>her tea</w:t>
      </w:r>
      <w:r w:rsidR="00422521">
        <w:t>m is responsible for implementation of the changes to Abortion services required under the Abortion Legislation Act 2020.</w:t>
      </w:r>
      <w:r w:rsidR="007D7DF8">
        <w:t xml:space="preserve">. </w:t>
      </w:r>
      <w:r w:rsidR="00F400D5">
        <w:t xml:space="preserve">She explained that Safe Areas was initially part of this reform, but was removed due to Bill of Rights Act concerns. </w:t>
      </w:r>
      <w:r w:rsidR="00B74469">
        <w:t xml:space="preserve">Safe Areas were reintroduced by a Private Member’s </w:t>
      </w:r>
      <w:r w:rsidR="00A411B4">
        <w:t>B</w:t>
      </w:r>
      <w:r w:rsidR="00B74469">
        <w:t>ill and brought to a conscious vote</w:t>
      </w:r>
      <w:r w:rsidR="00251134">
        <w:t>. The NZBORA implications were worked through and</w:t>
      </w:r>
      <w:r w:rsidR="00B74469">
        <w:t xml:space="preserve"> the S</w:t>
      </w:r>
      <w:r w:rsidR="00251134">
        <w:t>afe Areas Amendment Act was passed in 2022</w:t>
      </w:r>
      <w:r w:rsidR="0035756F">
        <w:t>, incorporated into the Contraception, Sterilisation and Abortion Act</w:t>
      </w:r>
      <w:r w:rsidR="00251134">
        <w:t>.</w:t>
      </w:r>
    </w:p>
    <w:p w14:paraId="1D280FF7" w14:textId="2CEE5A79" w:rsidR="0039647C" w:rsidRDefault="00327F96" w:rsidP="00A96F49">
      <w:pPr>
        <w:pStyle w:val="ListParagraph"/>
        <w:numPr>
          <w:ilvl w:val="0"/>
          <w:numId w:val="1"/>
        </w:numPr>
      </w:pPr>
      <w:r>
        <w:t xml:space="preserve">This Amendment </w:t>
      </w:r>
      <w:r w:rsidR="00305CF8">
        <w:t>aim</w:t>
      </w:r>
      <w:r w:rsidR="00A96F49">
        <w:t>s</w:t>
      </w:r>
      <w:r w:rsidR="00305CF8">
        <w:t xml:space="preserve"> to protect the safety, wellbeing, privacy and dignity of people who are accessing or providing abortion services. </w:t>
      </w:r>
      <w:r w:rsidR="000D31D2">
        <w:t xml:space="preserve">A Safe Area can cover an area of up to 150 meters from the perimeter of premises where abortions services are provided. </w:t>
      </w:r>
      <w:r w:rsidR="0039647C">
        <w:t>Certain behaviours are prohibited within Safe Areas, including behaviours which may be considered distressing to a person accessing or providing abortion services</w:t>
      </w:r>
      <w:r w:rsidR="0081659E">
        <w:t xml:space="preserve">, or attempting to stop a person accessing or providing abortion services. </w:t>
      </w:r>
    </w:p>
    <w:p w14:paraId="5E535D3E" w14:textId="5024EB32" w:rsidR="00251134" w:rsidRDefault="000F38C1" w:rsidP="00C94EC6">
      <w:pPr>
        <w:pStyle w:val="ListParagraph"/>
        <w:numPr>
          <w:ilvl w:val="0"/>
          <w:numId w:val="1"/>
        </w:numPr>
      </w:pPr>
      <w:r>
        <w:t xml:space="preserve">She explained that Safe Areas need to be demonstrably justified in a free and democratic society as a reasonable limitation on people’s rights and freedoms. </w:t>
      </w:r>
    </w:p>
    <w:p w14:paraId="06EF32C4" w14:textId="2DAC6A53" w:rsidR="006365CA" w:rsidRDefault="006365CA" w:rsidP="00C94EC6">
      <w:pPr>
        <w:pStyle w:val="ListParagraph"/>
        <w:numPr>
          <w:ilvl w:val="0"/>
          <w:numId w:val="1"/>
        </w:numPr>
      </w:pPr>
      <w:r>
        <w:t>NEAC raised</w:t>
      </w:r>
      <w:r w:rsidR="00212571">
        <w:t xml:space="preserve"> and discussed</w:t>
      </w:r>
      <w:r>
        <w:t xml:space="preserve"> issues of online safety, </w:t>
      </w:r>
      <w:r w:rsidR="00212571">
        <w:t xml:space="preserve">interim safety measures, and safe transport into Safe Areas. </w:t>
      </w:r>
    </w:p>
    <w:p w14:paraId="67693F7C" w14:textId="06F052BF" w:rsidR="007C6729" w:rsidRDefault="007C6729" w:rsidP="00C94EC6">
      <w:pPr>
        <w:pStyle w:val="ListParagraph"/>
        <w:numPr>
          <w:ilvl w:val="0"/>
          <w:numId w:val="1"/>
        </w:numPr>
      </w:pPr>
      <w:r>
        <w:t>NEAC agreed to</w:t>
      </w:r>
      <w:r w:rsidR="0066570D">
        <w:t xml:space="preserve"> add generic guidance for balancing ethical tensions in this space to its list of potential work projects to be run through its Prioritisation Framework. </w:t>
      </w:r>
    </w:p>
    <w:p w14:paraId="05A5304D" w14:textId="77777777" w:rsidR="00B8403B" w:rsidRPr="00C94EC6" w:rsidRDefault="00B8403B" w:rsidP="00B8403B">
      <w:pPr>
        <w:pStyle w:val="Heading2"/>
        <w:rPr>
          <w:b/>
          <w:bCs/>
          <w:color w:val="324F5C"/>
        </w:rPr>
      </w:pPr>
      <w:bookmarkStart w:id="14" w:name="_Toc110257868"/>
      <w:r w:rsidRPr="00C94EC6">
        <w:rPr>
          <w:b/>
          <w:bCs/>
          <w:color w:val="324F5C"/>
        </w:rPr>
        <w:t>Actions</w:t>
      </w:r>
      <w:bookmarkEnd w:id="14"/>
    </w:p>
    <w:p w14:paraId="2211EBDD" w14:textId="16B5C568" w:rsidR="00B8403B" w:rsidRPr="00023F81" w:rsidRDefault="0066570D" w:rsidP="0066570D">
      <w:pPr>
        <w:pStyle w:val="ListParagraph"/>
        <w:numPr>
          <w:ilvl w:val="0"/>
          <w:numId w:val="8"/>
        </w:numPr>
      </w:pPr>
      <w:r w:rsidRPr="00023F81">
        <w:t xml:space="preserve">Add generic guidance for balancing ethical tensions in this space to </w:t>
      </w:r>
      <w:r w:rsidR="000F01AD" w:rsidRPr="00023F81">
        <w:t>NEAC’s</w:t>
      </w:r>
      <w:r w:rsidRPr="00023F81">
        <w:t xml:space="preserve"> list of potential work projects to be run through </w:t>
      </w:r>
      <w:r w:rsidR="000F01AD" w:rsidRPr="00023F81">
        <w:t>the</w:t>
      </w:r>
      <w:r w:rsidRPr="00023F81">
        <w:t xml:space="preserve"> Prioritisation Framework. </w:t>
      </w:r>
    </w:p>
    <w:p w14:paraId="6B187E33" w14:textId="6BC137FD" w:rsidR="00C94EC6" w:rsidRPr="00C94EC6" w:rsidRDefault="00C94EC6" w:rsidP="00C94EC6">
      <w:pPr>
        <w:pStyle w:val="Heading1"/>
        <w:rPr>
          <w:b/>
          <w:bCs/>
          <w:color w:val="324F5C"/>
          <w:sz w:val="28"/>
          <w:szCs w:val="28"/>
        </w:rPr>
      </w:pPr>
      <w:bookmarkStart w:id="15" w:name="_Toc110257869"/>
      <w:r w:rsidRPr="00C94EC6">
        <w:rPr>
          <w:b/>
          <w:bCs/>
          <w:color w:val="324F5C"/>
          <w:sz w:val="28"/>
          <w:szCs w:val="28"/>
        </w:rPr>
        <w:t>EGAP</w:t>
      </w:r>
      <w:bookmarkEnd w:id="15"/>
    </w:p>
    <w:p w14:paraId="25AE4CFC" w14:textId="54217C42" w:rsidR="00C94EC6" w:rsidRDefault="00765D16" w:rsidP="001C52D7">
      <w:pPr>
        <w:pStyle w:val="ListParagraph"/>
        <w:numPr>
          <w:ilvl w:val="0"/>
          <w:numId w:val="1"/>
        </w:numPr>
      </w:pPr>
      <w:r w:rsidRPr="00765D16">
        <w:t xml:space="preserve">The </w:t>
      </w:r>
      <w:r>
        <w:t xml:space="preserve">Secretariat discussed the launch of the public consultation for </w:t>
      </w:r>
      <w:r>
        <w:rPr>
          <w:i/>
          <w:iCs/>
        </w:rPr>
        <w:t>Ethical Guidance for a Pandemic</w:t>
      </w:r>
      <w:r>
        <w:t xml:space="preserve">, and asked members to invite and encourage their networks to participate in the online survey. </w:t>
      </w:r>
    </w:p>
    <w:p w14:paraId="23A8BFDA" w14:textId="6DFC2DCB" w:rsidR="00381612" w:rsidRDefault="00381612" w:rsidP="001C52D7">
      <w:pPr>
        <w:pStyle w:val="ListParagraph"/>
        <w:numPr>
          <w:ilvl w:val="0"/>
          <w:numId w:val="1"/>
        </w:numPr>
      </w:pPr>
      <w:r>
        <w:t xml:space="preserve">NEAC members shared some additional stakeholder groups to be added to the stakeholder list. </w:t>
      </w:r>
    </w:p>
    <w:p w14:paraId="7E75B56F" w14:textId="5DA86FF9" w:rsidR="00295E57" w:rsidRPr="00765D16" w:rsidRDefault="00295E57" w:rsidP="001C52D7">
      <w:pPr>
        <w:pStyle w:val="ListParagraph"/>
        <w:numPr>
          <w:ilvl w:val="0"/>
          <w:numId w:val="1"/>
        </w:numPr>
      </w:pPr>
      <w:r>
        <w:t>The Secretariat shared some draft promotional posters for the consultation on screen, and NEAC members requested some changes</w:t>
      </w:r>
      <w:r w:rsidR="00992D00">
        <w:t xml:space="preserve">. </w:t>
      </w:r>
    </w:p>
    <w:p w14:paraId="2ACC2D19" w14:textId="1DE4DC56" w:rsidR="00C94EC6" w:rsidRPr="00C94EC6" w:rsidRDefault="00C94EC6" w:rsidP="00C94EC6">
      <w:pPr>
        <w:pStyle w:val="Heading2"/>
        <w:rPr>
          <w:b/>
          <w:bCs/>
          <w:color w:val="324F5C"/>
        </w:rPr>
      </w:pPr>
      <w:bookmarkStart w:id="16" w:name="_Toc110257870"/>
      <w:r w:rsidRPr="00C94EC6">
        <w:rPr>
          <w:b/>
          <w:bCs/>
          <w:color w:val="324F5C"/>
        </w:rPr>
        <w:t>Actions</w:t>
      </w:r>
      <w:bookmarkEnd w:id="16"/>
    </w:p>
    <w:p w14:paraId="221DD052" w14:textId="122E3F38" w:rsidR="00AF330C" w:rsidRPr="003F53CD" w:rsidRDefault="00AF330C" w:rsidP="00C94EC6">
      <w:pPr>
        <w:pStyle w:val="ListParagraph"/>
        <w:numPr>
          <w:ilvl w:val="0"/>
          <w:numId w:val="8"/>
        </w:numPr>
      </w:pPr>
      <w:r w:rsidRPr="003F53CD">
        <w:t xml:space="preserve">Secretariat to update stakeholder list. </w:t>
      </w:r>
    </w:p>
    <w:p w14:paraId="46B3D896" w14:textId="0FE79976" w:rsidR="005B6BFF" w:rsidRPr="003F53CD" w:rsidRDefault="00453B5F" w:rsidP="007E1CB6">
      <w:pPr>
        <w:pStyle w:val="ListParagraph"/>
        <w:numPr>
          <w:ilvl w:val="0"/>
          <w:numId w:val="8"/>
        </w:numPr>
      </w:pPr>
      <w:r w:rsidRPr="003F53CD">
        <w:lastRenderedPageBreak/>
        <w:t>Secretariat to share draft email to stakeholders</w:t>
      </w:r>
      <w:r w:rsidR="00295E57" w:rsidRPr="003F53CD">
        <w:t>, and</w:t>
      </w:r>
      <w:r w:rsidR="00032CAC" w:rsidRPr="003F53CD">
        <w:t xml:space="preserve"> updated</w:t>
      </w:r>
      <w:r w:rsidR="00295E57" w:rsidRPr="003F53CD">
        <w:t xml:space="preserve"> promotional posters,</w:t>
      </w:r>
      <w:r w:rsidRPr="003F53CD">
        <w:t xml:space="preserve"> with NEAC members. </w:t>
      </w:r>
      <w:bookmarkStart w:id="17" w:name="_Toc110257871"/>
      <w:bookmarkStart w:id="18" w:name="_Toc110257876"/>
    </w:p>
    <w:p w14:paraId="59ECF172" w14:textId="44496C64" w:rsidR="00EA7A69" w:rsidRPr="00EA7A69" w:rsidRDefault="00EA7A69" w:rsidP="00EA7A69">
      <w:pPr>
        <w:pStyle w:val="Heading2"/>
        <w:rPr>
          <w:b/>
          <w:bCs/>
          <w:color w:val="324F5C"/>
          <w:sz w:val="28"/>
          <w:szCs w:val="28"/>
        </w:rPr>
      </w:pPr>
      <w:r w:rsidRPr="00EA7A69">
        <w:rPr>
          <w:b/>
          <w:bCs/>
          <w:color w:val="324F5C"/>
          <w:sz w:val="28"/>
          <w:szCs w:val="28"/>
        </w:rPr>
        <w:lastRenderedPageBreak/>
        <w:t>Standards</w:t>
      </w:r>
      <w:bookmarkEnd w:id="17"/>
    </w:p>
    <w:p w14:paraId="71F78864"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The Secretariat presented the revised version of Chapter 6 Ethical Management of Vulnerability for noting and approval. Notable changes to the chapter include:</w:t>
      </w:r>
    </w:p>
    <w:p w14:paraId="40384656" w14:textId="77777777" w:rsidR="00EA7A69" w:rsidRPr="00EA7A69" w:rsidRDefault="00EA7A69" w:rsidP="00EA7A69">
      <w:pPr>
        <w:pStyle w:val="Heading2"/>
        <w:numPr>
          <w:ilvl w:val="1"/>
          <w:numId w:val="24"/>
        </w:numPr>
        <w:rPr>
          <w:rFonts w:asciiTheme="minorHAnsi" w:hAnsiTheme="minorHAnsi" w:cstheme="minorHAnsi"/>
          <w:color w:val="auto"/>
          <w:sz w:val="22"/>
          <w:szCs w:val="22"/>
        </w:rPr>
      </w:pPr>
      <w:r w:rsidRPr="00EA7A69">
        <w:rPr>
          <w:rFonts w:asciiTheme="minorHAnsi" w:hAnsiTheme="minorHAnsi" w:cstheme="minorHAnsi"/>
          <w:color w:val="auto"/>
          <w:sz w:val="22"/>
          <w:szCs w:val="22"/>
        </w:rPr>
        <w:t>A revised introduction with a new diagram</w:t>
      </w:r>
    </w:p>
    <w:p w14:paraId="49EF1B32" w14:textId="77777777" w:rsidR="00EA7A69" w:rsidRPr="00EA7A69" w:rsidRDefault="00EA7A69" w:rsidP="00EA7A69">
      <w:pPr>
        <w:pStyle w:val="Heading2"/>
        <w:numPr>
          <w:ilvl w:val="1"/>
          <w:numId w:val="24"/>
        </w:numPr>
        <w:rPr>
          <w:rFonts w:asciiTheme="minorHAnsi" w:hAnsiTheme="minorHAnsi" w:cstheme="minorHAnsi"/>
          <w:color w:val="auto"/>
          <w:sz w:val="22"/>
          <w:szCs w:val="22"/>
        </w:rPr>
      </w:pPr>
      <w:r w:rsidRPr="00EA7A69">
        <w:rPr>
          <w:rFonts w:asciiTheme="minorHAnsi" w:hAnsiTheme="minorHAnsi" w:cstheme="minorHAnsi"/>
          <w:color w:val="auto"/>
          <w:sz w:val="22"/>
          <w:szCs w:val="22"/>
        </w:rPr>
        <w:t>Refined terminology throughout the chapter (e.g. risk instead of exploitation, impairment instead of disability, rainbow community instead of LGBTQI).</w:t>
      </w:r>
    </w:p>
    <w:p w14:paraId="74F331B7" w14:textId="77777777" w:rsidR="00EA7A69" w:rsidRPr="00EA7A69" w:rsidRDefault="00EA7A69" w:rsidP="00EA7A69">
      <w:pPr>
        <w:pStyle w:val="Heading2"/>
        <w:numPr>
          <w:ilvl w:val="1"/>
          <w:numId w:val="24"/>
        </w:numPr>
        <w:rPr>
          <w:rFonts w:asciiTheme="minorHAnsi" w:hAnsiTheme="minorHAnsi" w:cstheme="minorHAnsi"/>
          <w:color w:val="auto"/>
          <w:sz w:val="22"/>
          <w:szCs w:val="22"/>
        </w:rPr>
      </w:pPr>
      <w:r w:rsidRPr="00EA7A69">
        <w:rPr>
          <w:rFonts w:asciiTheme="minorHAnsi" w:hAnsiTheme="minorHAnsi" w:cstheme="minorHAnsi"/>
          <w:color w:val="auto"/>
          <w:sz w:val="22"/>
          <w:szCs w:val="22"/>
        </w:rPr>
        <w:t>More guidance on diminished capacity.</w:t>
      </w:r>
    </w:p>
    <w:p w14:paraId="30C7308B" w14:textId="77777777" w:rsidR="00EA7A69" w:rsidRPr="00EA7A69" w:rsidRDefault="00EA7A69" w:rsidP="00EA7A69">
      <w:pPr>
        <w:pStyle w:val="Heading2"/>
        <w:numPr>
          <w:ilvl w:val="1"/>
          <w:numId w:val="24"/>
        </w:numPr>
        <w:rPr>
          <w:rFonts w:asciiTheme="minorHAnsi" w:hAnsiTheme="minorHAnsi" w:cstheme="minorHAnsi"/>
          <w:color w:val="auto"/>
          <w:sz w:val="22"/>
          <w:szCs w:val="22"/>
        </w:rPr>
      </w:pPr>
      <w:r w:rsidRPr="00EA7A69">
        <w:rPr>
          <w:rFonts w:asciiTheme="minorHAnsi" w:hAnsiTheme="minorHAnsi" w:cstheme="minorHAnsi"/>
          <w:color w:val="auto"/>
          <w:sz w:val="22"/>
          <w:szCs w:val="22"/>
        </w:rPr>
        <w:t>A new clause advising researchers they need to “ensure appropriate independent support is provided should any individual vulnerabilities be increased as a result of the research”.</w:t>
      </w:r>
    </w:p>
    <w:p w14:paraId="649E1019" w14:textId="77777777" w:rsidR="00EA7A69" w:rsidRPr="00EA7A69" w:rsidRDefault="00EA7A69" w:rsidP="00EA7A69">
      <w:pPr>
        <w:pStyle w:val="Heading2"/>
        <w:numPr>
          <w:ilvl w:val="1"/>
          <w:numId w:val="24"/>
        </w:numPr>
        <w:rPr>
          <w:rFonts w:asciiTheme="minorHAnsi" w:hAnsiTheme="minorHAnsi" w:cstheme="minorHAnsi"/>
          <w:color w:val="auto"/>
          <w:sz w:val="22"/>
          <w:szCs w:val="22"/>
        </w:rPr>
      </w:pPr>
      <w:r w:rsidRPr="00EA7A69">
        <w:rPr>
          <w:rFonts w:asciiTheme="minorHAnsi" w:hAnsiTheme="minorHAnsi" w:cstheme="minorHAnsi"/>
          <w:color w:val="auto"/>
          <w:sz w:val="22"/>
          <w:szCs w:val="22"/>
        </w:rPr>
        <w:t>More guidance on managing unequal power relationships.</w:t>
      </w:r>
    </w:p>
    <w:p w14:paraId="1EDC737D" w14:textId="77777777" w:rsidR="00EA7A69" w:rsidRPr="000D57E8" w:rsidRDefault="00EA7A69" w:rsidP="00EA7A69">
      <w:pPr>
        <w:pStyle w:val="Heading2"/>
        <w:numPr>
          <w:ilvl w:val="1"/>
          <w:numId w:val="24"/>
        </w:numPr>
        <w:rPr>
          <w:rFonts w:asciiTheme="minorHAnsi" w:hAnsiTheme="minorHAnsi" w:cstheme="minorHAnsi"/>
          <w:color w:val="auto"/>
          <w:sz w:val="22"/>
          <w:szCs w:val="22"/>
        </w:rPr>
      </w:pPr>
      <w:r w:rsidRPr="000D57E8">
        <w:rPr>
          <w:rFonts w:asciiTheme="minorHAnsi" w:hAnsiTheme="minorHAnsi" w:cstheme="minorHAnsi"/>
          <w:color w:val="auto"/>
          <w:sz w:val="22"/>
          <w:szCs w:val="22"/>
        </w:rPr>
        <w:t>Clarification that all participants who turn 16 are presumed to have competence and their consent for continued participation must be obtained.</w:t>
      </w:r>
    </w:p>
    <w:p w14:paraId="0A47452D" w14:textId="77777777" w:rsidR="00EA7A69" w:rsidRPr="00EA7A69" w:rsidRDefault="00EA7A69" w:rsidP="00EA7A69">
      <w:pPr>
        <w:pStyle w:val="Heading2"/>
        <w:numPr>
          <w:ilvl w:val="1"/>
          <w:numId w:val="24"/>
        </w:numPr>
        <w:rPr>
          <w:rFonts w:asciiTheme="minorHAnsi" w:hAnsiTheme="minorHAnsi" w:cstheme="minorHAnsi"/>
          <w:color w:val="auto"/>
          <w:sz w:val="22"/>
          <w:szCs w:val="22"/>
        </w:rPr>
      </w:pPr>
      <w:r w:rsidRPr="00EA7A69">
        <w:rPr>
          <w:rFonts w:asciiTheme="minorHAnsi" w:hAnsiTheme="minorHAnsi" w:cstheme="minorHAnsi"/>
          <w:color w:val="auto"/>
          <w:sz w:val="22"/>
          <w:szCs w:val="22"/>
        </w:rPr>
        <w:t>Guidance on managing a conflict of interest</w:t>
      </w:r>
    </w:p>
    <w:p w14:paraId="6B357CC0" w14:textId="77777777" w:rsidR="00EA7A69" w:rsidRPr="00EA7A69" w:rsidRDefault="00EA7A69" w:rsidP="00EA7A69">
      <w:pPr>
        <w:pStyle w:val="Heading2"/>
        <w:rPr>
          <w:rFonts w:asciiTheme="minorHAnsi" w:hAnsiTheme="minorHAnsi" w:cstheme="minorHAnsi"/>
          <w:color w:val="auto"/>
          <w:sz w:val="22"/>
          <w:szCs w:val="22"/>
        </w:rPr>
      </w:pPr>
    </w:p>
    <w:p w14:paraId="7DFFD4CC"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NEAC noted the chapter was incomplete and still required more guidance on researcher vulnerability and on the capacity to provide informed consent changing over time. </w:t>
      </w:r>
    </w:p>
    <w:p w14:paraId="5A938A79" w14:textId="77777777" w:rsidR="00EA7A69" w:rsidRPr="000D57E8" w:rsidRDefault="00EA7A69" w:rsidP="00EA7A69">
      <w:pPr>
        <w:pStyle w:val="Heading2"/>
        <w:numPr>
          <w:ilvl w:val="0"/>
          <w:numId w:val="1"/>
        </w:numPr>
        <w:rPr>
          <w:rFonts w:asciiTheme="minorHAnsi" w:hAnsiTheme="minorHAnsi" w:cstheme="minorHAnsi"/>
          <w:color w:val="auto"/>
          <w:sz w:val="22"/>
          <w:szCs w:val="22"/>
        </w:rPr>
      </w:pPr>
      <w:r w:rsidRPr="000D57E8">
        <w:rPr>
          <w:rFonts w:asciiTheme="minorHAnsi" w:hAnsiTheme="minorHAnsi" w:cstheme="minorHAnsi"/>
          <w:color w:val="auto"/>
          <w:sz w:val="22"/>
          <w:szCs w:val="22"/>
        </w:rPr>
        <w:t xml:space="preserve">NEAC noted a legal opinion on the children and young people section is necessary. </w:t>
      </w:r>
    </w:p>
    <w:p w14:paraId="6934213E"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NEAC reviewed the standards review timeline. Members agreed to focus on Chapter 5 Disability research as the next chapter for review. </w:t>
      </w:r>
    </w:p>
    <w:p w14:paraId="0FEC26D6" w14:textId="77777777" w:rsidR="00EA7A69" w:rsidRPr="00DA5680" w:rsidRDefault="00EA7A69" w:rsidP="00EA7A69">
      <w:pPr>
        <w:pStyle w:val="Heading2"/>
        <w:numPr>
          <w:ilvl w:val="0"/>
          <w:numId w:val="1"/>
        </w:numPr>
        <w:rPr>
          <w:rFonts w:asciiTheme="minorHAnsi" w:hAnsiTheme="minorHAnsi" w:cstheme="minorHAnsi"/>
          <w:color w:val="auto"/>
          <w:sz w:val="22"/>
          <w:szCs w:val="22"/>
        </w:rPr>
      </w:pPr>
      <w:r w:rsidRPr="00DA5680">
        <w:rPr>
          <w:rFonts w:asciiTheme="minorHAnsi" w:hAnsiTheme="minorHAnsi" w:cstheme="minorHAnsi"/>
          <w:color w:val="auto"/>
          <w:sz w:val="22"/>
          <w:szCs w:val="22"/>
        </w:rPr>
        <w:t xml:space="preserve">NEAC discussed the need for external reviewers for Chapter 4 Research and Pacific Peoples and Chapter 16 Research with stem cells and reprogrammed cells. NEAC noted it does not have expertise within these areas with its current membership. NEAC agreed the Secretariat would contact appropriate experts with an invitation to review the standards. </w:t>
      </w:r>
    </w:p>
    <w:p w14:paraId="719A9503" w14:textId="77777777" w:rsidR="00EA7A69" w:rsidRPr="00EA7A69" w:rsidRDefault="00EA7A69" w:rsidP="00EA7A69">
      <w:pPr>
        <w:pStyle w:val="Heading2"/>
        <w:rPr>
          <w:b/>
          <w:bCs/>
          <w:color w:val="324F5C"/>
          <w:sz w:val="28"/>
          <w:szCs w:val="28"/>
        </w:rPr>
      </w:pPr>
      <w:bookmarkStart w:id="19" w:name="_Toc110257872"/>
      <w:r w:rsidRPr="00EA7A69">
        <w:rPr>
          <w:b/>
          <w:bCs/>
          <w:color w:val="324F5C"/>
          <w:sz w:val="28"/>
          <w:szCs w:val="28"/>
        </w:rPr>
        <w:t>Actions</w:t>
      </w:r>
      <w:bookmarkEnd w:id="19"/>
    </w:p>
    <w:p w14:paraId="525399E9" w14:textId="77777777" w:rsidR="00EA7A69" w:rsidRPr="003F53CD" w:rsidRDefault="00EA7A69" w:rsidP="00EA7A69">
      <w:pPr>
        <w:pStyle w:val="Heading2"/>
        <w:numPr>
          <w:ilvl w:val="0"/>
          <w:numId w:val="8"/>
        </w:numPr>
        <w:rPr>
          <w:rFonts w:asciiTheme="minorHAnsi" w:hAnsiTheme="minorHAnsi" w:cstheme="minorHAnsi"/>
          <w:color w:val="auto"/>
          <w:sz w:val="22"/>
          <w:szCs w:val="22"/>
        </w:rPr>
      </w:pPr>
      <w:r w:rsidRPr="003F53CD">
        <w:rPr>
          <w:rFonts w:asciiTheme="minorHAnsi" w:hAnsiTheme="minorHAnsi" w:cstheme="minorHAnsi"/>
          <w:color w:val="auto"/>
          <w:sz w:val="22"/>
          <w:szCs w:val="22"/>
        </w:rPr>
        <w:t>Secretariat to enter the chapter 6 revision into the revised standards document.</w:t>
      </w:r>
    </w:p>
    <w:p w14:paraId="6C44695E" w14:textId="77777777" w:rsidR="00EA7A69" w:rsidRPr="003F53CD" w:rsidRDefault="00EA7A69" w:rsidP="00EA7A69">
      <w:pPr>
        <w:pStyle w:val="Heading2"/>
        <w:numPr>
          <w:ilvl w:val="0"/>
          <w:numId w:val="8"/>
        </w:numPr>
        <w:rPr>
          <w:rFonts w:asciiTheme="minorHAnsi" w:hAnsiTheme="minorHAnsi" w:cstheme="minorHAnsi"/>
          <w:color w:val="auto"/>
          <w:sz w:val="22"/>
          <w:szCs w:val="22"/>
        </w:rPr>
      </w:pPr>
      <w:r w:rsidRPr="003F53CD">
        <w:rPr>
          <w:rFonts w:asciiTheme="minorHAnsi" w:hAnsiTheme="minorHAnsi" w:cstheme="minorHAnsi"/>
          <w:color w:val="auto"/>
          <w:sz w:val="22"/>
          <w:szCs w:val="22"/>
        </w:rPr>
        <w:t>Secretariat to organise expert reviewers of chapters 4 and 16.</w:t>
      </w:r>
    </w:p>
    <w:p w14:paraId="178B204E" w14:textId="77777777" w:rsidR="00EA7A69" w:rsidRPr="003F53CD" w:rsidRDefault="00EA7A69" w:rsidP="00EA7A69">
      <w:pPr>
        <w:pStyle w:val="Heading2"/>
        <w:numPr>
          <w:ilvl w:val="0"/>
          <w:numId w:val="8"/>
        </w:numPr>
        <w:rPr>
          <w:rFonts w:asciiTheme="minorHAnsi" w:hAnsiTheme="minorHAnsi" w:cstheme="minorHAnsi"/>
          <w:color w:val="auto"/>
          <w:sz w:val="22"/>
          <w:szCs w:val="22"/>
        </w:rPr>
      </w:pPr>
      <w:r w:rsidRPr="003F53CD">
        <w:rPr>
          <w:rFonts w:asciiTheme="minorHAnsi" w:hAnsiTheme="minorHAnsi" w:cstheme="minorHAnsi"/>
          <w:color w:val="auto"/>
          <w:sz w:val="22"/>
          <w:szCs w:val="22"/>
        </w:rPr>
        <w:t>Secretariat to obtain legal opinion on the children and young people section of chapter 6.</w:t>
      </w:r>
    </w:p>
    <w:p w14:paraId="4F630C34" w14:textId="77777777" w:rsidR="00EA7A69" w:rsidRPr="003F53CD" w:rsidRDefault="00EA7A69" w:rsidP="00EA7A69">
      <w:pPr>
        <w:pStyle w:val="Heading2"/>
        <w:numPr>
          <w:ilvl w:val="0"/>
          <w:numId w:val="8"/>
        </w:numPr>
        <w:rPr>
          <w:rFonts w:asciiTheme="minorHAnsi" w:hAnsiTheme="minorHAnsi" w:cstheme="minorHAnsi"/>
          <w:color w:val="auto"/>
          <w:sz w:val="22"/>
          <w:szCs w:val="22"/>
        </w:rPr>
      </w:pPr>
      <w:r w:rsidRPr="003F53CD">
        <w:rPr>
          <w:rFonts w:asciiTheme="minorHAnsi" w:hAnsiTheme="minorHAnsi" w:cstheme="minorHAnsi"/>
          <w:color w:val="auto"/>
          <w:sz w:val="22"/>
          <w:szCs w:val="22"/>
        </w:rPr>
        <w:t xml:space="preserve">Standards review subgroup to draft more guidance on researcher vulnerability and the capacity for informed consent changing over time. </w:t>
      </w:r>
    </w:p>
    <w:p w14:paraId="6538B2A3" w14:textId="0E9F1ED6" w:rsidR="0098752E" w:rsidRPr="0098752E" w:rsidRDefault="00EA7A69" w:rsidP="0098752E">
      <w:pPr>
        <w:pStyle w:val="Heading2"/>
        <w:numPr>
          <w:ilvl w:val="0"/>
          <w:numId w:val="8"/>
        </w:numPr>
        <w:rPr>
          <w:rFonts w:asciiTheme="minorHAnsi" w:hAnsiTheme="minorHAnsi" w:cstheme="minorHAnsi"/>
          <w:color w:val="auto"/>
          <w:sz w:val="22"/>
          <w:szCs w:val="22"/>
        </w:rPr>
      </w:pPr>
      <w:r w:rsidRPr="003F53CD">
        <w:rPr>
          <w:rFonts w:asciiTheme="minorHAnsi" w:hAnsiTheme="minorHAnsi" w:cstheme="minorHAnsi"/>
          <w:color w:val="auto"/>
          <w:sz w:val="22"/>
          <w:szCs w:val="22"/>
        </w:rPr>
        <w:t xml:space="preserve">Standards review subgroup to begin reviewing chapter 5. </w:t>
      </w:r>
    </w:p>
    <w:p w14:paraId="75271AF6" w14:textId="77777777" w:rsidR="0098752E" w:rsidRDefault="0098752E" w:rsidP="00EA7A69">
      <w:pPr>
        <w:pStyle w:val="Heading2"/>
        <w:rPr>
          <w:b/>
          <w:bCs/>
          <w:color w:val="324F5C"/>
          <w:sz w:val="28"/>
          <w:szCs w:val="28"/>
        </w:rPr>
      </w:pPr>
      <w:bookmarkStart w:id="20" w:name="_Toc110257873"/>
    </w:p>
    <w:p w14:paraId="6B616EF0" w14:textId="096EA7C6" w:rsidR="00EA7A69" w:rsidRPr="00EA7A69" w:rsidRDefault="00EA7A69" w:rsidP="00EA7A69">
      <w:pPr>
        <w:pStyle w:val="Heading2"/>
        <w:rPr>
          <w:b/>
          <w:bCs/>
          <w:color w:val="324F5C"/>
          <w:sz w:val="28"/>
          <w:szCs w:val="28"/>
        </w:rPr>
      </w:pPr>
      <w:r w:rsidRPr="00EA7A69">
        <w:rPr>
          <w:b/>
          <w:bCs/>
          <w:color w:val="324F5C"/>
          <w:sz w:val="28"/>
          <w:szCs w:val="28"/>
        </w:rPr>
        <w:t>HRC presentation preparation</w:t>
      </w:r>
      <w:bookmarkEnd w:id="20"/>
    </w:p>
    <w:p w14:paraId="13E9E560"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NEAC discussed its role in relation to the Health Research Council (HRC) and noted a crossover and overlap of some functions but not others. NEAC noted the HRC funds health research in New Zealand and this gives it a great deal of power in shaping the health research landscape. </w:t>
      </w:r>
    </w:p>
    <w:p w14:paraId="0F1154D7" w14:textId="77777777" w:rsidR="00EA7A69" w:rsidRPr="00960BCD"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NEAC noted its role is not limited to health research but includes health services too which </w:t>
      </w:r>
      <w:r w:rsidRPr="00960BCD">
        <w:rPr>
          <w:rFonts w:asciiTheme="minorHAnsi" w:hAnsiTheme="minorHAnsi" w:cstheme="minorHAnsi"/>
          <w:color w:val="auto"/>
          <w:sz w:val="22"/>
          <w:szCs w:val="22"/>
        </w:rPr>
        <w:t xml:space="preserve">gives it a broader scope than the HRC. </w:t>
      </w:r>
    </w:p>
    <w:p w14:paraId="26F08217" w14:textId="33989413" w:rsidR="00EA7A69" w:rsidRPr="00960BCD" w:rsidRDefault="00EA7A69" w:rsidP="00EA7A69">
      <w:pPr>
        <w:pStyle w:val="Heading2"/>
        <w:numPr>
          <w:ilvl w:val="0"/>
          <w:numId w:val="1"/>
        </w:numPr>
        <w:rPr>
          <w:rFonts w:asciiTheme="minorHAnsi" w:hAnsiTheme="minorHAnsi" w:cstheme="minorHAnsi"/>
          <w:color w:val="auto"/>
          <w:sz w:val="22"/>
          <w:szCs w:val="22"/>
        </w:rPr>
      </w:pPr>
      <w:r w:rsidRPr="00960BCD">
        <w:rPr>
          <w:rFonts w:asciiTheme="minorHAnsi" w:hAnsiTheme="minorHAnsi" w:cstheme="minorHAnsi"/>
          <w:color w:val="auto"/>
          <w:sz w:val="22"/>
          <w:szCs w:val="22"/>
        </w:rPr>
        <w:t xml:space="preserve">NEAC noted one of its roles is to monitor the functioning of the HDECs but does not have a formal </w:t>
      </w:r>
      <w:r w:rsidR="00960BCD" w:rsidRPr="00350BF8">
        <w:rPr>
          <w:rFonts w:asciiTheme="minorHAnsi" w:hAnsiTheme="minorHAnsi" w:cstheme="minorHAnsi"/>
          <w:color w:val="auto"/>
          <w:sz w:val="22"/>
          <w:szCs w:val="22"/>
        </w:rPr>
        <w:t xml:space="preserve">monitoring </w:t>
      </w:r>
      <w:r w:rsidRPr="00960BCD">
        <w:rPr>
          <w:rFonts w:asciiTheme="minorHAnsi" w:hAnsiTheme="minorHAnsi" w:cstheme="minorHAnsi"/>
          <w:color w:val="auto"/>
          <w:sz w:val="22"/>
          <w:szCs w:val="22"/>
        </w:rPr>
        <w:t xml:space="preserve">relationship with the HDECs to do so. </w:t>
      </w:r>
    </w:p>
    <w:p w14:paraId="73BB78DB"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lastRenderedPageBreak/>
        <w:t xml:space="preserve">NEAC discussed the lack of substantive reporting from the HDECs. NEAC noted statistical reporting of volumes of submission and turnaround time does not inform NEAC of emerging and pertinent ethical issues e.g. CRISPR gene editing studies, studies involving organoids and incidents such as participant deaths in New Zealand trials. NEAC noted this is an issue with </w:t>
      </w:r>
      <w:r w:rsidRPr="007D59CC">
        <w:rPr>
          <w:rFonts w:asciiTheme="minorHAnsi" w:hAnsiTheme="minorHAnsi" w:cstheme="minorHAnsi"/>
          <w:color w:val="auto"/>
          <w:sz w:val="22"/>
          <w:szCs w:val="22"/>
        </w:rPr>
        <w:t>HDEC's annual reports to the HRC as well.</w:t>
      </w:r>
      <w:r w:rsidRPr="00EA7A69">
        <w:rPr>
          <w:rFonts w:asciiTheme="minorHAnsi" w:hAnsiTheme="minorHAnsi" w:cstheme="minorHAnsi"/>
          <w:color w:val="auto"/>
          <w:sz w:val="22"/>
          <w:szCs w:val="22"/>
        </w:rPr>
        <w:t xml:space="preserve"> </w:t>
      </w:r>
    </w:p>
    <w:p w14:paraId="7A1854DA" w14:textId="528EDA89"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NEAC discussed developing a template for the HDEC </w:t>
      </w:r>
      <w:r w:rsidR="008C0D26">
        <w:rPr>
          <w:rFonts w:asciiTheme="minorHAnsi" w:hAnsiTheme="minorHAnsi" w:cstheme="minorHAnsi"/>
          <w:color w:val="auto"/>
          <w:sz w:val="22"/>
          <w:szCs w:val="22"/>
        </w:rPr>
        <w:t>C</w:t>
      </w:r>
      <w:r w:rsidRPr="00EA7A69">
        <w:rPr>
          <w:rFonts w:asciiTheme="minorHAnsi" w:hAnsiTheme="minorHAnsi" w:cstheme="minorHAnsi"/>
          <w:color w:val="auto"/>
          <w:sz w:val="22"/>
          <w:szCs w:val="22"/>
        </w:rPr>
        <w:t xml:space="preserve">hairs that contained appropriate prompts for the HDEC </w:t>
      </w:r>
      <w:r w:rsidR="0024517A">
        <w:rPr>
          <w:rFonts w:asciiTheme="minorHAnsi" w:hAnsiTheme="minorHAnsi" w:cstheme="minorHAnsi"/>
          <w:color w:val="auto"/>
          <w:sz w:val="22"/>
          <w:szCs w:val="22"/>
        </w:rPr>
        <w:t>C</w:t>
      </w:r>
      <w:r w:rsidRPr="00EA7A69">
        <w:rPr>
          <w:rFonts w:asciiTheme="minorHAnsi" w:hAnsiTheme="minorHAnsi" w:cstheme="minorHAnsi"/>
          <w:color w:val="auto"/>
          <w:sz w:val="22"/>
          <w:szCs w:val="22"/>
        </w:rPr>
        <w:t xml:space="preserve">hairs and Secretariat to report the necessary information to NEAC. </w:t>
      </w:r>
    </w:p>
    <w:p w14:paraId="127C3399"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NEAC noted the relationship between the Advisory Committee on Assisted Reproductive Technology (ACART) and the Ethics Committee on Assisted Reproductive Technology (ECART) with both committees sending observers to attend meetings of the other. NEAC agreed a similar arrangement with the HRC or HDECs would be beneficial.</w:t>
      </w:r>
    </w:p>
    <w:p w14:paraId="02D81BB6" w14:textId="57970A84" w:rsidR="00EA7A69" w:rsidRPr="001D1B9A"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NEAC queried whether it may co-opt non-voting ex officio members or whether this needs Ministerial approval. The Secretariat stated it is permissible to invite observers who would not count for quorum or decisions. The Secretariat agreed to investigate further. </w:t>
      </w:r>
    </w:p>
    <w:p w14:paraId="37ABCDD7" w14:textId="77777777" w:rsidR="00EA7A69" w:rsidRPr="00EA7A69" w:rsidRDefault="00EA7A69" w:rsidP="00EA7A69">
      <w:pPr>
        <w:pStyle w:val="Heading2"/>
        <w:rPr>
          <w:b/>
          <w:bCs/>
          <w:color w:val="324F5C"/>
          <w:sz w:val="28"/>
          <w:szCs w:val="28"/>
        </w:rPr>
      </w:pPr>
      <w:bookmarkStart w:id="21" w:name="_Toc110257874"/>
      <w:r w:rsidRPr="00EA7A69">
        <w:rPr>
          <w:b/>
          <w:bCs/>
          <w:color w:val="324F5C"/>
          <w:sz w:val="28"/>
          <w:szCs w:val="28"/>
        </w:rPr>
        <w:t>Actions</w:t>
      </w:r>
      <w:bookmarkEnd w:id="21"/>
    </w:p>
    <w:p w14:paraId="550477D7" w14:textId="77777777" w:rsidR="00EA7A69" w:rsidRPr="00646592" w:rsidRDefault="00EA7A69" w:rsidP="00EA7A69">
      <w:pPr>
        <w:pStyle w:val="Heading2"/>
        <w:numPr>
          <w:ilvl w:val="0"/>
          <w:numId w:val="8"/>
        </w:numPr>
        <w:rPr>
          <w:rFonts w:asciiTheme="minorHAnsi" w:hAnsiTheme="minorHAnsi" w:cstheme="minorHAnsi"/>
          <w:color w:val="auto"/>
          <w:sz w:val="22"/>
          <w:szCs w:val="22"/>
        </w:rPr>
      </w:pPr>
      <w:r w:rsidRPr="00646592">
        <w:rPr>
          <w:rFonts w:asciiTheme="minorHAnsi" w:hAnsiTheme="minorHAnsi" w:cstheme="minorHAnsi"/>
          <w:color w:val="auto"/>
          <w:sz w:val="22"/>
          <w:szCs w:val="22"/>
        </w:rPr>
        <w:t xml:space="preserve">Secretariat to investigate an observer arrangement between NEAC and HRC. </w:t>
      </w:r>
    </w:p>
    <w:p w14:paraId="27764F92" w14:textId="77777777" w:rsidR="00EA7A69" w:rsidRPr="00646592" w:rsidRDefault="00EA7A69" w:rsidP="00EA7A69">
      <w:pPr>
        <w:pStyle w:val="Heading2"/>
        <w:numPr>
          <w:ilvl w:val="0"/>
          <w:numId w:val="8"/>
        </w:numPr>
        <w:rPr>
          <w:rFonts w:asciiTheme="minorHAnsi" w:hAnsiTheme="minorHAnsi" w:cstheme="minorHAnsi"/>
          <w:color w:val="auto"/>
          <w:sz w:val="22"/>
          <w:szCs w:val="22"/>
        </w:rPr>
      </w:pPr>
      <w:r w:rsidRPr="00646592">
        <w:rPr>
          <w:rFonts w:asciiTheme="minorHAnsi" w:hAnsiTheme="minorHAnsi" w:cstheme="minorHAnsi"/>
          <w:color w:val="auto"/>
          <w:sz w:val="22"/>
          <w:szCs w:val="22"/>
        </w:rPr>
        <w:t>Secretariat to investigate ability of NEAC to co-opt non-voting ex officio members.</w:t>
      </w:r>
    </w:p>
    <w:p w14:paraId="00D74D10" w14:textId="77777777" w:rsidR="00EA7A69" w:rsidRPr="00646592" w:rsidRDefault="00EA7A69" w:rsidP="00EA7A69">
      <w:pPr>
        <w:pStyle w:val="Heading2"/>
        <w:numPr>
          <w:ilvl w:val="0"/>
          <w:numId w:val="8"/>
        </w:numPr>
        <w:rPr>
          <w:rFonts w:asciiTheme="minorHAnsi" w:hAnsiTheme="minorHAnsi" w:cstheme="minorHAnsi"/>
          <w:color w:val="auto"/>
          <w:sz w:val="22"/>
          <w:szCs w:val="22"/>
        </w:rPr>
      </w:pPr>
      <w:r w:rsidRPr="00646592">
        <w:rPr>
          <w:rFonts w:asciiTheme="minorHAnsi" w:hAnsiTheme="minorHAnsi" w:cstheme="minorHAnsi"/>
          <w:color w:val="auto"/>
          <w:sz w:val="22"/>
          <w:szCs w:val="22"/>
        </w:rPr>
        <w:t>Secretariat to develop HDEC reporting template for updating NEAC.</w:t>
      </w:r>
    </w:p>
    <w:p w14:paraId="241D693A" w14:textId="77777777" w:rsidR="001D1B9A" w:rsidRDefault="001D1B9A" w:rsidP="00EA7A69">
      <w:pPr>
        <w:pStyle w:val="Heading2"/>
        <w:rPr>
          <w:b/>
          <w:bCs/>
          <w:color w:val="324F5C"/>
          <w:sz w:val="28"/>
          <w:szCs w:val="28"/>
        </w:rPr>
      </w:pPr>
      <w:bookmarkStart w:id="22" w:name="_Toc110257875"/>
    </w:p>
    <w:p w14:paraId="5EB41B0E" w14:textId="1097A18D" w:rsidR="00EA7A69" w:rsidRPr="00EA7A69" w:rsidRDefault="00EA7A69" w:rsidP="00EA7A69">
      <w:pPr>
        <w:pStyle w:val="Heading2"/>
        <w:rPr>
          <w:b/>
          <w:bCs/>
          <w:color w:val="324F5C"/>
          <w:sz w:val="28"/>
          <w:szCs w:val="28"/>
        </w:rPr>
      </w:pPr>
      <w:r w:rsidRPr="00EA7A69">
        <w:rPr>
          <w:b/>
          <w:bCs/>
          <w:color w:val="324F5C"/>
          <w:sz w:val="28"/>
          <w:szCs w:val="28"/>
        </w:rPr>
        <w:t>HRC presentation</w:t>
      </w:r>
      <w:bookmarkEnd w:id="22"/>
    </w:p>
    <w:p w14:paraId="3E7EC36D" w14:textId="3BE61D34"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Two representatives from the Health Research Council </w:t>
      </w:r>
      <w:r w:rsidR="00601838">
        <w:rPr>
          <w:rFonts w:asciiTheme="minorHAnsi" w:hAnsiTheme="minorHAnsi" w:cstheme="minorHAnsi"/>
          <w:color w:val="auto"/>
          <w:sz w:val="22"/>
          <w:szCs w:val="22"/>
        </w:rPr>
        <w:t xml:space="preserve">(HRC) </w:t>
      </w:r>
      <w:r w:rsidRPr="00EA7A69">
        <w:rPr>
          <w:rFonts w:asciiTheme="minorHAnsi" w:hAnsiTheme="minorHAnsi" w:cstheme="minorHAnsi"/>
          <w:color w:val="auto"/>
          <w:sz w:val="22"/>
          <w:szCs w:val="22"/>
        </w:rPr>
        <w:t xml:space="preserve">presented to NEAC. </w:t>
      </w:r>
      <w:r w:rsidR="00D97666">
        <w:rPr>
          <w:rFonts w:asciiTheme="minorHAnsi" w:hAnsiTheme="minorHAnsi" w:cstheme="minorHAnsi"/>
          <w:color w:val="auto"/>
          <w:sz w:val="22"/>
          <w:szCs w:val="22"/>
        </w:rPr>
        <w:t>They</w:t>
      </w:r>
      <w:r w:rsidRPr="00EA7A69">
        <w:rPr>
          <w:rFonts w:asciiTheme="minorHAnsi" w:hAnsiTheme="minorHAnsi" w:cstheme="minorHAnsi"/>
          <w:color w:val="auto"/>
          <w:sz w:val="22"/>
          <w:szCs w:val="22"/>
        </w:rPr>
        <w:t xml:space="preserve"> explained the Health Research Council (HRC) was formed in 1990 in the aftermath of the Cartwright Inquiry and was charged with dispensing funds and ethical oversight of health research. </w:t>
      </w:r>
    </w:p>
    <w:p w14:paraId="201BFBA6" w14:textId="68F35F1D"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The</w:t>
      </w:r>
      <w:r w:rsidR="00D97666">
        <w:rPr>
          <w:rFonts w:asciiTheme="minorHAnsi" w:hAnsiTheme="minorHAnsi" w:cstheme="minorHAnsi"/>
          <w:color w:val="auto"/>
          <w:sz w:val="22"/>
          <w:szCs w:val="22"/>
        </w:rPr>
        <w:t xml:space="preserve">y </w:t>
      </w:r>
      <w:r w:rsidRPr="00EA7A69">
        <w:rPr>
          <w:rFonts w:asciiTheme="minorHAnsi" w:hAnsiTheme="minorHAnsi" w:cstheme="minorHAnsi"/>
          <w:color w:val="auto"/>
          <w:sz w:val="22"/>
          <w:szCs w:val="22"/>
        </w:rPr>
        <w:t xml:space="preserve">explained one of its functions is to ensure that any application that receives HRC funds also receives independent ethical review, either from the </w:t>
      </w:r>
      <w:r w:rsidR="00AB371C" w:rsidRPr="00EA7A69">
        <w:rPr>
          <w:rFonts w:asciiTheme="minorHAnsi" w:hAnsiTheme="minorHAnsi" w:cstheme="minorHAnsi"/>
          <w:color w:val="auto"/>
          <w:sz w:val="22"/>
          <w:szCs w:val="22"/>
        </w:rPr>
        <w:t xml:space="preserve">Health Research Council </w:t>
      </w:r>
      <w:r w:rsidR="00AB371C">
        <w:rPr>
          <w:rFonts w:asciiTheme="minorHAnsi" w:hAnsiTheme="minorHAnsi" w:cstheme="minorHAnsi"/>
          <w:color w:val="auto"/>
          <w:sz w:val="22"/>
          <w:szCs w:val="22"/>
        </w:rPr>
        <w:t>Ethics Committee (</w:t>
      </w:r>
      <w:r w:rsidRPr="00EA7A69">
        <w:rPr>
          <w:rFonts w:asciiTheme="minorHAnsi" w:hAnsiTheme="minorHAnsi" w:cstheme="minorHAnsi"/>
          <w:color w:val="auto"/>
          <w:sz w:val="22"/>
          <w:szCs w:val="22"/>
        </w:rPr>
        <w:t>HRCEC</w:t>
      </w:r>
      <w:r w:rsidR="00AB371C">
        <w:rPr>
          <w:rFonts w:asciiTheme="minorHAnsi" w:hAnsiTheme="minorHAnsi" w:cstheme="minorHAnsi"/>
          <w:color w:val="auto"/>
          <w:sz w:val="22"/>
          <w:szCs w:val="22"/>
        </w:rPr>
        <w:t>)</w:t>
      </w:r>
      <w:r w:rsidRPr="00EA7A69">
        <w:rPr>
          <w:rFonts w:asciiTheme="minorHAnsi" w:hAnsiTheme="minorHAnsi" w:cstheme="minorHAnsi"/>
          <w:color w:val="auto"/>
          <w:sz w:val="22"/>
          <w:szCs w:val="22"/>
        </w:rPr>
        <w:t xml:space="preserve"> or from an independent ethics committee with HRCEC approval. In practice the HRCEC does not review applications and its core function is the work of approving ethics committees.</w:t>
      </w:r>
    </w:p>
    <w:p w14:paraId="6C91DAFB" w14:textId="11D3047D" w:rsidR="00EA7A69" w:rsidRPr="00EA7A69" w:rsidRDefault="00AB371C" w:rsidP="00EA7A69">
      <w:pPr>
        <w:pStyle w:val="Heading2"/>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They</w:t>
      </w:r>
      <w:r w:rsidR="00EA7A69" w:rsidRPr="00EA7A69">
        <w:rPr>
          <w:rFonts w:asciiTheme="minorHAnsi" w:hAnsiTheme="minorHAnsi" w:cstheme="minorHAnsi"/>
          <w:color w:val="auto"/>
          <w:sz w:val="22"/>
          <w:szCs w:val="22"/>
        </w:rPr>
        <w:t xml:space="preserve"> noted that one if </w:t>
      </w:r>
      <w:r>
        <w:rPr>
          <w:rFonts w:asciiTheme="minorHAnsi" w:hAnsiTheme="minorHAnsi" w:cstheme="minorHAnsi"/>
          <w:color w:val="auto"/>
          <w:sz w:val="22"/>
          <w:szCs w:val="22"/>
        </w:rPr>
        <w:t>the HRCEC’s</w:t>
      </w:r>
      <w:r w:rsidR="00EA7A69" w:rsidRPr="00EA7A69">
        <w:rPr>
          <w:rFonts w:asciiTheme="minorHAnsi" w:hAnsiTheme="minorHAnsi" w:cstheme="minorHAnsi"/>
          <w:color w:val="auto"/>
          <w:sz w:val="22"/>
          <w:szCs w:val="22"/>
        </w:rPr>
        <w:t xml:space="preserve"> functions is to provide ethical guidelines and this overlaps with NEAC's National Ethical Standards. </w:t>
      </w:r>
    </w:p>
    <w:p w14:paraId="328ABA8F" w14:textId="45234458"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The</w:t>
      </w:r>
      <w:r w:rsidR="00AB371C">
        <w:rPr>
          <w:rFonts w:asciiTheme="minorHAnsi" w:hAnsiTheme="minorHAnsi" w:cstheme="minorHAnsi"/>
          <w:color w:val="auto"/>
          <w:sz w:val="22"/>
          <w:szCs w:val="22"/>
        </w:rPr>
        <w:t>y</w:t>
      </w:r>
      <w:r w:rsidRPr="00EA7A69">
        <w:rPr>
          <w:rFonts w:asciiTheme="minorHAnsi" w:hAnsiTheme="minorHAnsi" w:cstheme="minorHAnsi"/>
          <w:color w:val="auto"/>
          <w:sz w:val="22"/>
          <w:szCs w:val="22"/>
        </w:rPr>
        <w:t xml:space="preserve"> noted a previous Minister of Health requested it act as an appeal body for research applications declined by other ethics committees. The</w:t>
      </w:r>
      <w:r w:rsidR="001C1D87">
        <w:rPr>
          <w:rFonts w:asciiTheme="minorHAnsi" w:hAnsiTheme="minorHAnsi" w:cstheme="minorHAnsi"/>
          <w:color w:val="auto"/>
          <w:sz w:val="22"/>
          <w:szCs w:val="22"/>
        </w:rPr>
        <w:t>y</w:t>
      </w:r>
      <w:r w:rsidRPr="00EA7A69">
        <w:rPr>
          <w:rFonts w:asciiTheme="minorHAnsi" w:hAnsiTheme="minorHAnsi" w:cstheme="minorHAnsi"/>
          <w:color w:val="auto"/>
          <w:sz w:val="22"/>
          <w:szCs w:val="22"/>
        </w:rPr>
        <w:t xml:space="preserve"> noted this has only occurred three times, with declined applications from the national Health and Disability Ethics Committees (HDECs). </w:t>
      </w:r>
    </w:p>
    <w:p w14:paraId="0F23BEAB" w14:textId="22E2D2F0"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Th</w:t>
      </w:r>
      <w:r w:rsidR="00C47510">
        <w:rPr>
          <w:rFonts w:asciiTheme="minorHAnsi" w:hAnsiTheme="minorHAnsi" w:cstheme="minorHAnsi"/>
          <w:color w:val="auto"/>
          <w:sz w:val="22"/>
          <w:szCs w:val="22"/>
        </w:rPr>
        <w:t>ey</w:t>
      </w:r>
      <w:r w:rsidRPr="00EA7A69">
        <w:rPr>
          <w:rFonts w:asciiTheme="minorHAnsi" w:hAnsiTheme="minorHAnsi" w:cstheme="minorHAnsi"/>
          <w:color w:val="auto"/>
          <w:sz w:val="22"/>
          <w:szCs w:val="22"/>
        </w:rPr>
        <w:t xml:space="preserve"> noted it meets four times annually and sets guidelines on approval for ethics committees, including compositional requirements. The</w:t>
      </w:r>
      <w:r w:rsidR="00C47510">
        <w:rPr>
          <w:rFonts w:asciiTheme="minorHAnsi" w:hAnsiTheme="minorHAnsi" w:cstheme="minorHAnsi"/>
          <w:color w:val="auto"/>
          <w:sz w:val="22"/>
          <w:szCs w:val="22"/>
        </w:rPr>
        <w:t>y</w:t>
      </w:r>
      <w:r w:rsidRPr="00EA7A69">
        <w:rPr>
          <w:rFonts w:asciiTheme="minorHAnsi" w:hAnsiTheme="minorHAnsi" w:cstheme="minorHAnsi"/>
          <w:color w:val="auto"/>
          <w:sz w:val="22"/>
          <w:szCs w:val="22"/>
        </w:rPr>
        <w:t xml:space="preserve"> noted Māori membership on committees remains low and the burden placed on Māori members to attend meetings is high, which otherwise would have no Māori voice in their absence. The</w:t>
      </w:r>
      <w:r w:rsidR="00C47510">
        <w:rPr>
          <w:rFonts w:asciiTheme="minorHAnsi" w:hAnsiTheme="minorHAnsi" w:cstheme="minorHAnsi"/>
          <w:color w:val="auto"/>
          <w:sz w:val="22"/>
          <w:szCs w:val="22"/>
        </w:rPr>
        <w:t>y</w:t>
      </w:r>
      <w:r w:rsidRPr="00EA7A69">
        <w:rPr>
          <w:rFonts w:asciiTheme="minorHAnsi" w:hAnsiTheme="minorHAnsi" w:cstheme="minorHAnsi"/>
          <w:color w:val="auto"/>
          <w:sz w:val="22"/>
          <w:szCs w:val="22"/>
        </w:rPr>
        <w:t xml:space="preserve"> noted some committees struggle to meet this requirement and it tries to support them in meeting this requirement rather than withdrawing approval. The</w:t>
      </w:r>
      <w:r w:rsidR="00C47510">
        <w:rPr>
          <w:rFonts w:asciiTheme="minorHAnsi" w:hAnsiTheme="minorHAnsi" w:cstheme="minorHAnsi"/>
          <w:color w:val="auto"/>
          <w:sz w:val="22"/>
          <w:szCs w:val="22"/>
        </w:rPr>
        <w:t>y</w:t>
      </w:r>
      <w:r w:rsidRPr="00EA7A69">
        <w:rPr>
          <w:rFonts w:asciiTheme="minorHAnsi" w:hAnsiTheme="minorHAnsi" w:cstheme="minorHAnsi"/>
          <w:color w:val="auto"/>
          <w:sz w:val="22"/>
          <w:szCs w:val="22"/>
        </w:rPr>
        <w:t xml:space="preserve"> requested any guidance from NEAC on this matter. </w:t>
      </w:r>
    </w:p>
    <w:p w14:paraId="69565ADE" w14:textId="408D807C" w:rsidR="00EA7A69" w:rsidRPr="00EA7A69" w:rsidRDefault="00387179" w:rsidP="00EA7A69">
      <w:pPr>
        <w:pStyle w:val="Heading2"/>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They</w:t>
      </w:r>
      <w:r w:rsidR="00EA7A69" w:rsidRPr="00EA7A69">
        <w:rPr>
          <w:rFonts w:asciiTheme="minorHAnsi" w:hAnsiTheme="minorHAnsi" w:cstheme="minorHAnsi"/>
          <w:color w:val="auto"/>
          <w:sz w:val="22"/>
          <w:szCs w:val="22"/>
        </w:rPr>
        <w:t xml:space="preserve"> discussed</w:t>
      </w:r>
      <w:r>
        <w:rPr>
          <w:rFonts w:asciiTheme="minorHAnsi" w:hAnsiTheme="minorHAnsi" w:cstheme="minorHAnsi"/>
          <w:color w:val="auto"/>
          <w:sz w:val="22"/>
          <w:szCs w:val="22"/>
        </w:rPr>
        <w:t xml:space="preserve"> with NEAC</w:t>
      </w:r>
      <w:r w:rsidR="00EA7A69" w:rsidRPr="00EA7A69">
        <w:rPr>
          <w:rFonts w:asciiTheme="minorHAnsi" w:hAnsiTheme="minorHAnsi" w:cstheme="minorHAnsi"/>
          <w:color w:val="auto"/>
          <w:sz w:val="22"/>
          <w:szCs w:val="22"/>
        </w:rPr>
        <w:t xml:space="preserve"> the relationship between the two bodies, overlaps and gaps in remit and agreed to pursue a more collaborative relationship in the future. </w:t>
      </w:r>
    </w:p>
    <w:p w14:paraId="30E8F20E"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lastRenderedPageBreak/>
        <w:t xml:space="preserve">NEAC noted some of the HRC ethical guidance did not align with NEAC's National Ethical Standards such as the guidance on children and young people and the guidance on tissue. </w:t>
      </w:r>
    </w:p>
    <w:p w14:paraId="739AE324" w14:textId="1B0AC194"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The HRC and NEAC noted some researchers, particularly those not based at a university</w:t>
      </w:r>
      <w:r w:rsidR="00283B64">
        <w:rPr>
          <w:rFonts w:asciiTheme="minorHAnsi" w:hAnsiTheme="minorHAnsi" w:cstheme="minorHAnsi"/>
          <w:color w:val="auto"/>
          <w:sz w:val="22"/>
          <w:szCs w:val="22"/>
        </w:rPr>
        <w:t>,</w:t>
      </w:r>
      <w:r w:rsidRPr="00EA7A69">
        <w:rPr>
          <w:rFonts w:asciiTheme="minorHAnsi" w:hAnsiTheme="minorHAnsi" w:cstheme="minorHAnsi"/>
          <w:color w:val="auto"/>
          <w:sz w:val="22"/>
          <w:szCs w:val="22"/>
        </w:rPr>
        <w:t xml:space="preserve"> may encounter uncertainty around the governance structure of ethical oversight for health research and the two bodies should produce work to clarify this.</w:t>
      </w:r>
    </w:p>
    <w:p w14:paraId="1808D70A"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NEAC noted a further gap in the ethical oversight structure with other governmental ethics committees such as ACC and the Ministry of Social Development. </w:t>
      </w:r>
    </w:p>
    <w:p w14:paraId="262E50F5" w14:textId="7777777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 xml:space="preserve">NEAC discussed whether the HRC should become involved in broader social research and noted it had caused difficulties overseas when biomedical ethics is applied to social science. </w:t>
      </w:r>
    </w:p>
    <w:p w14:paraId="59E494EE" w14:textId="609C0167" w:rsidR="00EA7A69" w:rsidRPr="00EA7A69" w:rsidRDefault="00EA7A69" w:rsidP="00EA7A69">
      <w:pPr>
        <w:pStyle w:val="Heading2"/>
        <w:numPr>
          <w:ilvl w:val="0"/>
          <w:numId w:val="1"/>
        </w:numPr>
        <w:rPr>
          <w:rFonts w:asciiTheme="minorHAnsi" w:hAnsiTheme="minorHAnsi" w:cstheme="minorHAnsi"/>
          <w:color w:val="auto"/>
          <w:sz w:val="22"/>
          <w:szCs w:val="22"/>
        </w:rPr>
      </w:pPr>
      <w:r w:rsidRPr="00EA7A69">
        <w:rPr>
          <w:rFonts w:asciiTheme="minorHAnsi" w:hAnsiTheme="minorHAnsi" w:cstheme="minorHAnsi"/>
          <w:color w:val="auto"/>
          <w:sz w:val="22"/>
          <w:szCs w:val="22"/>
        </w:rPr>
        <w:t>The HRC noted challenges with training ethics committee members and the cost associated. The HRC</w:t>
      </w:r>
      <w:r w:rsidR="00194DD2">
        <w:rPr>
          <w:rFonts w:asciiTheme="minorHAnsi" w:hAnsiTheme="minorHAnsi" w:cstheme="minorHAnsi"/>
          <w:color w:val="auto"/>
          <w:sz w:val="22"/>
          <w:szCs w:val="22"/>
        </w:rPr>
        <w:t xml:space="preserve"> </w:t>
      </w:r>
      <w:r w:rsidRPr="00EA7A69">
        <w:rPr>
          <w:rFonts w:asciiTheme="minorHAnsi" w:hAnsiTheme="minorHAnsi" w:cstheme="minorHAnsi"/>
          <w:color w:val="auto"/>
          <w:sz w:val="22"/>
          <w:szCs w:val="22"/>
        </w:rPr>
        <w:t xml:space="preserve">stated it would be holding a workshop to begin developing training materials and invited NEAC to participate in the process. </w:t>
      </w:r>
    </w:p>
    <w:p w14:paraId="313244B4" w14:textId="77777777" w:rsidR="00EA7A69" w:rsidRPr="00EA7A69" w:rsidRDefault="00EA7A69" w:rsidP="00EA7A69">
      <w:pPr>
        <w:pStyle w:val="Heading2"/>
        <w:rPr>
          <w:b/>
          <w:bCs/>
          <w:color w:val="324F5C"/>
          <w:sz w:val="28"/>
          <w:szCs w:val="28"/>
        </w:rPr>
      </w:pPr>
      <w:r w:rsidRPr="00EA7A69">
        <w:rPr>
          <w:b/>
          <w:bCs/>
          <w:color w:val="324F5C"/>
          <w:sz w:val="28"/>
          <w:szCs w:val="28"/>
        </w:rPr>
        <w:t>Actions</w:t>
      </w:r>
    </w:p>
    <w:p w14:paraId="708289D9" w14:textId="501076F1" w:rsidR="00EA7A69" w:rsidRPr="00283B64" w:rsidRDefault="00EA7A69" w:rsidP="00EA7A69">
      <w:pPr>
        <w:pStyle w:val="Heading2"/>
        <w:numPr>
          <w:ilvl w:val="0"/>
          <w:numId w:val="8"/>
        </w:numPr>
        <w:rPr>
          <w:rFonts w:asciiTheme="minorHAnsi" w:hAnsiTheme="minorHAnsi" w:cstheme="minorHAnsi"/>
          <w:color w:val="auto"/>
          <w:sz w:val="22"/>
          <w:szCs w:val="22"/>
        </w:rPr>
      </w:pPr>
      <w:r w:rsidRPr="00283B64">
        <w:rPr>
          <w:rFonts w:asciiTheme="minorHAnsi" w:hAnsiTheme="minorHAnsi" w:cstheme="minorHAnsi"/>
          <w:color w:val="auto"/>
          <w:sz w:val="22"/>
          <w:szCs w:val="22"/>
        </w:rPr>
        <w:t xml:space="preserve">Secretariat to liaise with HRC to establish a working relationship and future meeting attendance. </w:t>
      </w:r>
    </w:p>
    <w:p w14:paraId="010E6B68" w14:textId="2CD4F907" w:rsidR="00C94EC6" w:rsidRPr="00C94EC6" w:rsidRDefault="00C94EC6" w:rsidP="00C94EC6">
      <w:pPr>
        <w:pStyle w:val="Heading1"/>
        <w:rPr>
          <w:b/>
          <w:bCs/>
          <w:color w:val="324F5C"/>
          <w:sz w:val="28"/>
          <w:szCs w:val="28"/>
        </w:rPr>
      </w:pPr>
      <w:bookmarkStart w:id="23" w:name="_Toc110257877"/>
      <w:bookmarkEnd w:id="18"/>
      <w:r w:rsidRPr="00C94EC6">
        <w:rPr>
          <w:b/>
          <w:bCs/>
          <w:color w:val="324F5C"/>
          <w:sz w:val="28"/>
          <w:szCs w:val="28"/>
        </w:rPr>
        <w:t>Prioritisation Framew</w:t>
      </w:r>
      <w:r>
        <w:rPr>
          <w:b/>
          <w:bCs/>
          <w:color w:val="324F5C"/>
          <w:sz w:val="28"/>
          <w:szCs w:val="28"/>
        </w:rPr>
        <w:t>or</w:t>
      </w:r>
      <w:r w:rsidRPr="00C94EC6">
        <w:rPr>
          <w:b/>
          <w:bCs/>
          <w:color w:val="324F5C"/>
          <w:sz w:val="28"/>
          <w:szCs w:val="28"/>
        </w:rPr>
        <w:t>k</w:t>
      </w:r>
      <w:bookmarkEnd w:id="23"/>
    </w:p>
    <w:p w14:paraId="6D86E328" w14:textId="6C3DD7CC" w:rsidR="003766F1" w:rsidRPr="00686145" w:rsidRDefault="00B22CD4" w:rsidP="001C52D7">
      <w:pPr>
        <w:pStyle w:val="ListParagraph"/>
        <w:numPr>
          <w:ilvl w:val="0"/>
          <w:numId w:val="1"/>
        </w:numPr>
        <w:rPr>
          <w:color w:val="FF0000"/>
        </w:rPr>
      </w:pPr>
      <w:r>
        <w:t>The Secretariat discussed the updated Priorit</w:t>
      </w:r>
      <w:r w:rsidR="00036561">
        <w:t>i</w:t>
      </w:r>
      <w:r>
        <w:t xml:space="preserve">sation Framework and NEAC tested </w:t>
      </w:r>
      <w:r w:rsidR="00036561">
        <w:t xml:space="preserve">a potential </w:t>
      </w:r>
      <w:r w:rsidR="003766F1">
        <w:t xml:space="preserve">work programme project through the Framework. </w:t>
      </w:r>
    </w:p>
    <w:p w14:paraId="56549D71" w14:textId="0194A1ED" w:rsidR="00DA69C8" w:rsidRPr="00686145" w:rsidRDefault="00686145" w:rsidP="00686145">
      <w:pPr>
        <w:pStyle w:val="ListParagraph"/>
        <w:numPr>
          <w:ilvl w:val="0"/>
          <w:numId w:val="1"/>
        </w:numPr>
        <w:rPr>
          <w:color w:val="FF0000"/>
        </w:rPr>
      </w:pPr>
      <w:r>
        <w:t xml:space="preserve">Members expressed that they found the process very useful and enlightening, but </w:t>
      </w:r>
      <w:r w:rsidR="003766F1">
        <w:t>that the process for using the Framework needs to be finetuned, including ensuring that NEAC members are given a clear briefing o</w:t>
      </w:r>
      <w:r w:rsidR="00DA69C8">
        <w:t xml:space="preserve">f each proposed project before attempting to run it through the Framework. </w:t>
      </w:r>
    </w:p>
    <w:p w14:paraId="45F17832" w14:textId="77777777" w:rsidR="00303D28" w:rsidRPr="00303D28" w:rsidRDefault="00DA69C8" w:rsidP="001C52D7">
      <w:pPr>
        <w:pStyle w:val="ListParagraph"/>
        <w:numPr>
          <w:ilvl w:val="0"/>
          <w:numId w:val="1"/>
        </w:numPr>
        <w:rPr>
          <w:color w:val="FF0000"/>
        </w:rPr>
      </w:pPr>
      <w:r>
        <w:t xml:space="preserve">It was suggested that </w:t>
      </w:r>
      <w:r w:rsidR="006C58CC">
        <w:t xml:space="preserve">rather than </w:t>
      </w:r>
      <w:r w:rsidR="006860DE">
        <w:t xml:space="preserve">running through each potential project down the list of the criteria before moving onto the next potential project, rather each criteria should be </w:t>
      </w:r>
      <w:r w:rsidR="00303D28">
        <w:t xml:space="preserve">run against each project before moving on to the next criteria. </w:t>
      </w:r>
    </w:p>
    <w:p w14:paraId="50DADA84" w14:textId="6610402F" w:rsidR="00C0565F" w:rsidRPr="00EF2D6B" w:rsidRDefault="004D6772" w:rsidP="001C52D7">
      <w:pPr>
        <w:pStyle w:val="ListParagraph"/>
        <w:numPr>
          <w:ilvl w:val="0"/>
          <w:numId w:val="1"/>
        </w:numPr>
        <w:rPr>
          <w:color w:val="FF0000"/>
        </w:rPr>
      </w:pPr>
      <w:r>
        <w:t xml:space="preserve">It was agreed that scoring should be done individually before being shared </w:t>
      </w:r>
      <w:r w:rsidR="004B6826">
        <w:t xml:space="preserve">anonymously </w:t>
      </w:r>
      <w:r>
        <w:t xml:space="preserve">with the Committee, to avoid group bias. </w:t>
      </w:r>
    </w:p>
    <w:p w14:paraId="37D3B708" w14:textId="4521AF6A" w:rsidR="00EF2D6B" w:rsidRPr="00C0565F" w:rsidRDefault="00EF2D6B" w:rsidP="001C52D7">
      <w:pPr>
        <w:pStyle w:val="ListParagraph"/>
        <w:numPr>
          <w:ilvl w:val="0"/>
          <w:numId w:val="1"/>
        </w:numPr>
        <w:rPr>
          <w:color w:val="FF0000"/>
        </w:rPr>
      </w:pPr>
      <w:r>
        <w:t xml:space="preserve">Members commented that they found the scoring process to be helpful in evaluating their own </w:t>
      </w:r>
      <w:r w:rsidR="00BC510B">
        <w:t xml:space="preserve">biases.  </w:t>
      </w:r>
    </w:p>
    <w:p w14:paraId="34F1C094" w14:textId="77777777" w:rsidR="00C0565F" w:rsidRPr="00C0565F" w:rsidRDefault="00C0565F" w:rsidP="001C52D7">
      <w:pPr>
        <w:pStyle w:val="ListParagraph"/>
        <w:numPr>
          <w:ilvl w:val="0"/>
          <w:numId w:val="1"/>
        </w:numPr>
        <w:rPr>
          <w:color w:val="FF0000"/>
        </w:rPr>
      </w:pPr>
      <w:r>
        <w:t xml:space="preserve">The following process was suggested: </w:t>
      </w:r>
    </w:p>
    <w:p w14:paraId="213B1826" w14:textId="64D11356" w:rsidR="00C94EC6" w:rsidRPr="00A51EDA" w:rsidRDefault="00487C66" w:rsidP="00C0565F">
      <w:pPr>
        <w:pStyle w:val="ListParagraph"/>
        <w:numPr>
          <w:ilvl w:val="1"/>
          <w:numId w:val="1"/>
        </w:numPr>
        <w:rPr>
          <w:color w:val="FF0000"/>
        </w:rPr>
      </w:pPr>
      <w:r>
        <w:t>NEAC</w:t>
      </w:r>
      <w:r w:rsidR="00B22CD4">
        <w:t xml:space="preserve"> </w:t>
      </w:r>
      <w:r>
        <w:t>m</w:t>
      </w:r>
      <w:r w:rsidR="00E9333C">
        <w:t xml:space="preserve">embers </w:t>
      </w:r>
      <w:r>
        <w:t xml:space="preserve">or external stakeholders </w:t>
      </w:r>
      <w:r w:rsidR="00E9333C">
        <w:t xml:space="preserve">send Secretariat a </w:t>
      </w:r>
      <w:r w:rsidR="00A51EDA">
        <w:t>problem-statement/</w:t>
      </w:r>
      <w:r w:rsidR="00F51631">
        <w:t xml:space="preserve">project </w:t>
      </w:r>
      <w:r w:rsidR="00A51EDA">
        <w:t>briefing to the Secretariat</w:t>
      </w:r>
    </w:p>
    <w:p w14:paraId="3FE92236" w14:textId="73CC83A8" w:rsidR="00FA41E6" w:rsidRPr="00FA41E6" w:rsidRDefault="00A51EDA" w:rsidP="00FA41E6">
      <w:pPr>
        <w:pStyle w:val="ListParagraph"/>
        <w:numPr>
          <w:ilvl w:val="1"/>
          <w:numId w:val="1"/>
        </w:numPr>
        <w:rPr>
          <w:color w:val="FF0000"/>
        </w:rPr>
      </w:pPr>
      <w:r>
        <w:t xml:space="preserve">The Secretariat screens the </w:t>
      </w:r>
      <w:r w:rsidR="00FA41E6">
        <w:t xml:space="preserve">project through the Framework </w:t>
      </w:r>
      <w:r w:rsidR="00A47E93">
        <w:t xml:space="preserve">(and potentially scores as well) </w:t>
      </w:r>
    </w:p>
    <w:p w14:paraId="41067EDD" w14:textId="1F84EA68" w:rsidR="00FA41E6" w:rsidRPr="000B6135" w:rsidRDefault="00FA41E6" w:rsidP="00FA41E6">
      <w:pPr>
        <w:pStyle w:val="ListParagraph"/>
        <w:numPr>
          <w:ilvl w:val="1"/>
          <w:numId w:val="1"/>
        </w:numPr>
        <w:rPr>
          <w:color w:val="FF0000"/>
        </w:rPr>
      </w:pPr>
      <w:r>
        <w:t xml:space="preserve">The problem statement is framed </w:t>
      </w:r>
      <w:r w:rsidR="000B6135">
        <w:t>by the Secretariat (and given ahead of the meeting so members have time to consider)</w:t>
      </w:r>
    </w:p>
    <w:p w14:paraId="2936ECBE" w14:textId="77777777" w:rsidR="000B6135" w:rsidRPr="000B6135" w:rsidRDefault="000B6135" w:rsidP="000B6135">
      <w:pPr>
        <w:pStyle w:val="ListParagraph"/>
        <w:numPr>
          <w:ilvl w:val="1"/>
          <w:numId w:val="1"/>
        </w:numPr>
        <w:rPr>
          <w:color w:val="FF0000"/>
        </w:rPr>
      </w:pPr>
      <w:r>
        <w:t>NEAC discuss</w:t>
      </w:r>
    </w:p>
    <w:p w14:paraId="33F75637" w14:textId="3E9CD92A" w:rsidR="000B6135" w:rsidRPr="00A60C6E" w:rsidRDefault="000B6135" w:rsidP="000B6135">
      <w:pPr>
        <w:pStyle w:val="ListParagraph"/>
        <w:numPr>
          <w:ilvl w:val="1"/>
          <w:numId w:val="1"/>
        </w:numPr>
        <w:rPr>
          <w:color w:val="FF0000"/>
        </w:rPr>
      </w:pPr>
      <w:r w:rsidRPr="000B6135">
        <w:rPr>
          <w:rFonts w:eastAsia="Times New Roman"/>
        </w:rPr>
        <w:t>Score anonymously</w:t>
      </w:r>
    </w:p>
    <w:p w14:paraId="74CB6C54" w14:textId="26B0504F" w:rsidR="000B6135" w:rsidRPr="00A60C6E" w:rsidRDefault="000B6135" w:rsidP="000B6135">
      <w:pPr>
        <w:pStyle w:val="ListParagraph"/>
        <w:numPr>
          <w:ilvl w:val="1"/>
          <w:numId w:val="1"/>
        </w:numPr>
        <w:rPr>
          <w:color w:val="FF0000"/>
        </w:rPr>
      </w:pPr>
      <w:r w:rsidRPr="00A60C6E">
        <w:rPr>
          <w:rFonts w:eastAsia="Times New Roman"/>
        </w:rPr>
        <w:t>Go with the majority, but</w:t>
      </w:r>
      <w:r w:rsidR="00F54F6D" w:rsidRPr="00A60C6E">
        <w:rPr>
          <w:rFonts w:eastAsia="Times New Roman"/>
        </w:rPr>
        <w:t xml:space="preserve"> members have an</w:t>
      </w:r>
      <w:r w:rsidRPr="00A60C6E">
        <w:rPr>
          <w:rFonts w:eastAsia="Times New Roman"/>
        </w:rPr>
        <w:t xml:space="preserve"> opportunity to speak to </w:t>
      </w:r>
      <w:r w:rsidR="00F54F6D" w:rsidRPr="00A60C6E">
        <w:rPr>
          <w:rFonts w:eastAsia="Times New Roman"/>
        </w:rPr>
        <w:t>their</w:t>
      </w:r>
      <w:r w:rsidRPr="00A60C6E">
        <w:rPr>
          <w:rFonts w:eastAsia="Times New Roman"/>
        </w:rPr>
        <w:t xml:space="preserve"> issue and </w:t>
      </w:r>
      <w:r w:rsidR="00022D4E">
        <w:rPr>
          <w:rFonts w:eastAsia="Times New Roman"/>
        </w:rPr>
        <w:t xml:space="preserve">have everyone </w:t>
      </w:r>
      <w:r w:rsidRPr="00A60C6E">
        <w:rPr>
          <w:rFonts w:eastAsia="Times New Roman"/>
        </w:rPr>
        <w:t>re-score</w:t>
      </w:r>
    </w:p>
    <w:p w14:paraId="30482FAB" w14:textId="0664FFC9" w:rsidR="00FE38DA" w:rsidRPr="00A60C6E" w:rsidRDefault="00FE38DA" w:rsidP="003E1762">
      <w:pPr>
        <w:pStyle w:val="ListParagraph"/>
        <w:numPr>
          <w:ilvl w:val="0"/>
          <w:numId w:val="1"/>
        </w:numPr>
        <w:spacing w:line="252" w:lineRule="auto"/>
        <w:rPr>
          <w:rFonts w:eastAsia="Times New Roman"/>
        </w:rPr>
      </w:pPr>
      <w:bookmarkStart w:id="24" w:name="_Toc110257878"/>
      <w:r w:rsidRPr="00A60C6E">
        <w:rPr>
          <w:rFonts w:eastAsia="Times New Roman"/>
        </w:rPr>
        <w:t xml:space="preserve">It was discussed that consideration needs to be given for how much resource </w:t>
      </w:r>
      <w:r w:rsidR="00510E7C" w:rsidRPr="00A60C6E">
        <w:rPr>
          <w:rFonts w:eastAsia="Times New Roman"/>
        </w:rPr>
        <w:t xml:space="preserve">is required to undertake a given project, and that this could be part of the screening process before </w:t>
      </w:r>
      <w:r w:rsidR="00686DE6" w:rsidRPr="00A60C6E">
        <w:rPr>
          <w:rFonts w:eastAsia="Times New Roman"/>
        </w:rPr>
        <w:t xml:space="preserve">running a potential project through the Framework. </w:t>
      </w:r>
    </w:p>
    <w:p w14:paraId="5599947E" w14:textId="2B93B01E" w:rsidR="003E1762" w:rsidRDefault="003E1762" w:rsidP="003E1762">
      <w:pPr>
        <w:pStyle w:val="ListParagraph"/>
        <w:numPr>
          <w:ilvl w:val="0"/>
          <w:numId w:val="1"/>
        </w:numPr>
        <w:spacing w:line="252" w:lineRule="auto"/>
        <w:rPr>
          <w:rFonts w:eastAsia="Times New Roman"/>
        </w:rPr>
      </w:pPr>
      <w:r w:rsidRPr="00650E7E">
        <w:rPr>
          <w:rFonts w:eastAsia="Times New Roman"/>
        </w:rPr>
        <w:t>A</w:t>
      </w:r>
      <w:r w:rsidR="00D204FF" w:rsidRPr="00650E7E">
        <w:rPr>
          <w:rFonts w:eastAsia="Times New Roman"/>
        </w:rPr>
        <w:t>n a</w:t>
      </w:r>
      <w:r w:rsidRPr="00650E7E">
        <w:rPr>
          <w:rFonts w:eastAsia="Times New Roman"/>
        </w:rPr>
        <w:t>dditional criteria</w:t>
      </w:r>
      <w:r w:rsidR="00D204FF" w:rsidRPr="00650E7E">
        <w:rPr>
          <w:rFonts w:eastAsia="Times New Roman"/>
        </w:rPr>
        <w:t xml:space="preserve"> was suggested</w:t>
      </w:r>
      <w:r w:rsidRPr="00650E7E">
        <w:rPr>
          <w:rFonts w:eastAsia="Times New Roman"/>
        </w:rPr>
        <w:t>:</w:t>
      </w:r>
      <w:r w:rsidR="00D204FF" w:rsidRPr="00650E7E">
        <w:rPr>
          <w:rFonts w:eastAsia="Times New Roman"/>
        </w:rPr>
        <w:t xml:space="preserve"> the work projects</w:t>
      </w:r>
      <w:r w:rsidRPr="00650E7E">
        <w:rPr>
          <w:rFonts w:eastAsia="Times New Roman"/>
        </w:rPr>
        <w:t xml:space="preserve"> fits within Gov</w:t>
      </w:r>
      <w:r w:rsidR="00D204FF" w:rsidRPr="00650E7E">
        <w:rPr>
          <w:rFonts w:eastAsia="Times New Roman"/>
        </w:rPr>
        <w:t>ernmen</w:t>
      </w:r>
      <w:r w:rsidRPr="00650E7E">
        <w:rPr>
          <w:rFonts w:eastAsia="Times New Roman"/>
        </w:rPr>
        <w:t>t’s health strategy</w:t>
      </w:r>
      <w:r w:rsidR="00D204FF" w:rsidRPr="00650E7E">
        <w:rPr>
          <w:rFonts w:eastAsia="Times New Roman"/>
        </w:rPr>
        <w:t xml:space="preserve">, and therefore the Minister is more likely to agree the project. </w:t>
      </w:r>
    </w:p>
    <w:p w14:paraId="25765407" w14:textId="568A836C" w:rsidR="001D6404" w:rsidRPr="00A60C6E" w:rsidRDefault="001D6404" w:rsidP="003E1762">
      <w:pPr>
        <w:pStyle w:val="ListParagraph"/>
        <w:numPr>
          <w:ilvl w:val="0"/>
          <w:numId w:val="1"/>
        </w:numPr>
        <w:spacing w:line="252" w:lineRule="auto"/>
        <w:rPr>
          <w:rFonts w:eastAsia="Times New Roman"/>
        </w:rPr>
      </w:pPr>
      <w:r w:rsidRPr="00A60C6E">
        <w:rPr>
          <w:rFonts w:eastAsia="Times New Roman"/>
        </w:rPr>
        <w:lastRenderedPageBreak/>
        <w:t>Clarity was suggested around what is meant by “guidance is needed”, and whether th</w:t>
      </w:r>
      <w:r w:rsidR="007D4042" w:rsidRPr="00A60C6E">
        <w:rPr>
          <w:rFonts w:eastAsia="Times New Roman"/>
        </w:rPr>
        <w:t>is entails NEAC deciding</w:t>
      </w:r>
      <w:r w:rsidR="001B74BD" w:rsidRPr="00A60C6E">
        <w:rPr>
          <w:rFonts w:eastAsia="Times New Roman"/>
        </w:rPr>
        <w:t xml:space="preserve"> of its own accord</w:t>
      </w:r>
      <w:r w:rsidR="007D4042" w:rsidRPr="00A60C6E">
        <w:rPr>
          <w:rFonts w:eastAsia="Times New Roman"/>
        </w:rPr>
        <w:t xml:space="preserve"> that guidance is needed, or if it entails external stakeholders approaching NEAC for guidance. </w:t>
      </w:r>
    </w:p>
    <w:p w14:paraId="2F0A1E6D" w14:textId="28C4BF01" w:rsidR="003E1762" w:rsidRDefault="003C70A0" w:rsidP="003E1762">
      <w:pPr>
        <w:pStyle w:val="ListParagraph"/>
        <w:numPr>
          <w:ilvl w:val="0"/>
          <w:numId w:val="1"/>
        </w:numPr>
        <w:spacing w:line="252" w:lineRule="auto"/>
        <w:rPr>
          <w:rFonts w:eastAsia="Times New Roman"/>
        </w:rPr>
      </w:pPr>
      <w:r w:rsidRPr="00650E7E">
        <w:rPr>
          <w:rFonts w:eastAsia="Times New Roman"/>
        </w:rPr>
        <w:t xml:space="preserve">It was agreed that </w:t>
      </w:r>
      <w:r w:rsidR="00650E7E" w:rsidRPr="00650E7E">
        <w:rPr>
          <w:rFonts w:eastAsia="Times New Roman"/>
        </w:rPr>
        <w:t>the wording around the Te Tiriti o Waitangi criteria needs more work</w:t>
      </w:r>
      <w:r w:rsidR="00192B04">
        <w:rPr>
          <w:rFonts w:eastAsia="Times New Roman"/>
        </w:rPr>
        <w:t xml:space="preserve">, which could be undertaken by the Rangatiratanga </w:t>
      </w:r>
      <w:proofErr w:type="spellStart"/>
      <w:r w:rsidR="00192B04">
        <w:rPr>
          <w:rFonts w:eastAsia="Times New Roman"/>
        </w:rPr>
        <w:t>roopu</w:t>
      </w:r>
      <w:proofErr w:type="spellEnd"/>
      <w:r w:rsidR="00192B04">
        <w:rPr>
          <w:rFonts w:eastAsia="Times New Roman"/>
        </w:rPr>
        <w:t xml:space="preserve">. </w:t>
      </w:r>
      <w:r w:rsidR="003E1762" w:rsidRPr="00650E7E">
        <w:rPr>
          <w:rFonts w:eastAsia="Times New Roman"/>
        </w:rPr>
        <w:t>‘Give effect’ rather than ‘honour’</w:t>
      </w:r>
      <w:r w:rsidR="00650E7E" w:rsidRPr="00650E7E">
        <w:rPr>
          <w:rFonts w:eastAsia="Times New Roman"/>
        </w:rPr>
        <w:t xml:space="preserve"> was suggested. </w:t>
      </w:r>
    </w:p>
    <w:p w14:paraId="3164EA55" w14:textId="1E483639" w:rsidR="00336553" w:rsidRPr="00650E7E" w:rsidRDefault="00336553" w:rsidP="003E1762">
      <w:pPr>
        <w:pStyle w:val="ListParagraph"/>
        <w:numPr>
          <w:ilvl w:val="0"/>
          <w:numId w:val="1"/>
        </w:numPr>
        <w:spacing w:line="252" w:lineRule="auto"/>
        <w:rPr>
          <w:rFonts w:eastAsia="Times New Roman"/>
        </w:rPr>
      </w:pPr>
      <w:r>
        <w:rPr>
          <w:rFonts w:eastAsia="Times New Roman"/>
        </w:rPr>
        <w:t xml:space="preserve">It was agreed that </w:t>
      </w:r>
      <w:r w:rsidR="009B5A55">
        <w:rPr>
          <w:rFonts w:eastAsia="Times New Roman"/>
        </w:rPr>
        <w:t xml:space="preserve">a record should be kept of suggested projects that do not make it onto the work programme, so that there is opportunity for them to be reassessed against the </w:t>
      </w:r>
      <w:r w:rsidR="00192B04">
        <w:rPr>
          <w:rFonts w:eastAsia="Times New Roman"/>
        </w:rPr>
        <w:t>F</w:t>
      </w:r>
      <w:r w:rsidR="009B5A55">
        <w:rPr>
          <w:rFonts w:eastAsia="Times New Roman"/>
        </w:rPr>
        <w:t xml:space="preserve">ramework in the </w:t>
      </w:r>
      <w:r w:rsidR="001E2622">
        <w:rPr>
          <w:rFonts w:eastAsia="Times New Roman"/>
        </w:rPr>
        <w:t xml:space="preserve">future. </w:t>
      </w:r>
    </w:p>
    <w:p w14:paraId="731A3974" w14:textId="781D5E2B" w:rsidR="00C94EC6" w:rsidRPr="009952F8" w:rsidRDefault="00C94EC6" w:rsidP="00C94EC6">
      <w:pPr>
        <w:pStyle w:val="Heading2"/>
        <w:rPr>
          <w:b/>
          <w:bCs/>
          <w:color w:val="324F5C"/>
        </w:rPr>
      </w:pPr>
      <w:r w:rsidRPr="009952F8">
        <w:rPr>
          <w:b/>
          <w:bCs/>
          <w:color w:val="324F5C"/>
        </w:rPr>
        <w:t>Actions</w:t>
      </w:r>
      <w:bookmarkEnd w:id="24"/>
    </w:p>
    <w:p w14:paraId="5D17749F" w14:textId="77777777" w:rsidR="009952F8" w:rsidRPr="009952F8" w:rsidRDefault="00650E7E" w:rsidP="003E1762">
      <w:pPr>
        <w:pStyle w:val="ListParagraph"/>
        <w:numPr>
          <w:ilvl w:val="0"/>
          <w:numId w:val="27"/>
        </w:numPr>
        <w:spacing w:line="252" w:lineRule="auto"/>
        <w:rPr>
          <w:rFonts w:eastAsia="Times New Roman"/>
        </w:rPr>
      </w:pPr>
      <w:bookmarkStart w:id="25" w:name="_Toc110257879"/>
      <w:r w:rsidRPr="009952F8">
        <w:rPr>
          <w:rFonts w:eastAsia="Times New Roman"/>
        </w:rPr>
        <w:t xml:space="preserve">A subgroup </w:t>
      </w:r>
      <w:r w:rsidR="009952F8" w:rsidRPr="009952F8">
        <w:rPr>
          <w:rFonts w:eastAsia="Times New Roman"/>
        </w:rPr>
        <w:t xml:space="preserve">will meet to: </w:t>
      </w:r>
    </w:p>
    <w:p w14:paraId="3F80E146" w14:textId="7893E725" w:rsidR="003E1762" w:rsidRPr="009952F8" w:rsidRDefault="003E1762" w:rsidP="009952F8">
      <w:pPr>
        <w:pStyle w:val="ListParagraph"/>
        <w:numPr>
          <w:ilvl w:val="1"/>
          <w:numId w:val="27"/>
        </w:numPr>
        <w:spacing w:line="252" w:lineRule="auto"/>
        <w:rPr>
          <w:rFonts w:eastAsia="Times New Roman"/>
        </w:rPr>
      </w:pPr>
      <w:r w:rsidRPr="009952F8">
        <w:rPr>
          <w:rFonts w:eastAsia="Times New Roman"/>
        </w:rPr>
        <w:t>Confirm process</w:t>
      </w:r>
    </w:p>
    <w:p w14:paraId="4B564667" w14:textId="77777777" w:rsidR="003E1762" w:rsidRPr="009952F8" w:rsidRDefault="003E1762" w:rsidP="009952F8">
      <w:pPr>
        <w:pStyle w:val="ListParagraph"/>
        <w:numPr>
          <w:ilvl w:val="1"/>
          <w:numId w:val="27"/>
        </w:numPr>
        <w:spacing w:line="252" w:lineRule="auto"/>
        <w:rPr>
          <w:rFonts w:eastAsia="Times New Roman"/>
        </w:rPr>
      </w:pPr>
      <w:r w:rsidRPr="009952F8">
        <w:rPr>
          <w:rFonts w:eastAsia="Times New Roman"/>
        </w:rPr>
        <w:t xml:space="preserve">Discuss and agree the above suggestions </w:t>
      </w:r>
    </w:p>
    <w:p w14:paraId="3189F96D" w14:textId="3209A41B" w:rsidR="007C77C8" w:rsidRPr="00C94EC6" w:rsidRDefault="007C77C8" w:rsidP="007C77C8">
      <w:pPr>
        <w:pStyle w:val="Heading1"/>
        <w:rPr>
          <w:b/>
          <w:bCs/>
          <w:color w:val="324F5C"/>
          <w:sz w:val="28"/>
          <w:szCs w:val="28"/>
        </w:rPr>
      </w:pPr>
      <w:r w:rsidRPr="00C94EC6">
        <w:rPr>
          <w:b/>
          <w:bCs/>
          <w:color w:val="324F5C"/>
          <w:sz w:val="28"/>
          <w:szCs w:val="28"/>
        </w:rPr>
        <w:t>U</w:t>
      </w:r>
      <w:r w:rsidR="00C94EC6" w:rsidRPr="00C94EC6">
        <w:rPr>
          <w:b/>
          <w:bCs/>
          <w:color w:val="324F5C"/>
          <w:sz w:val="28"/>
          <w:szCs w:val="28"/>
        </w:rPr>
        <w:t>p</w:t>
      </w:r>
      <w:r w:rsidRPr="00C94EC6">
        <w:rPr>
          <w:b/>
          <w:bCs/>
          <w:color w:val="324F5C"/>
          <w:sz w:val="28"/>
          <w:szCs w:val="28"/>
        </w:rPr>
        <w:t xml:space="preserve">date from Chair of </w:t>
      </w:r>
      <w:r w:rsidR="005E35D9">
        <w:rPr>
          <w:b/>
          <w:bCs/>
          <w:color w:val="324F5C"/>
          <w:sz w:val="28"/>
          <w:szCs w:val="28"/>
        </w:rPr>
        <w:t>Northern A</w:t>
      </w:r>
      <w:r w:rsidRPr="00C94EC6">
        <w:rPr>
          <w:b/>
          <w:bCs/>
          <w:color w:val="324F5C"/>
          <w:sz w:val="28"/>
          <w:szCs w:val="28"/>
        </w:rPr>
        <w:t xml:space="preserve"> Health and Disability Ethics Committee</w:t>
      </w:r>
      <w:bookmarkEnd w:id="25"/>
      <w:r w:rsidRPr="00C94EC6">
        <w:rPr>
          <w:b/>
          <w:bCs/>
          <w:color w:val="324F5C"/>
          <w:sz w:val="28"/>
          <w:szCs w:val="28"/>
        </w:rPr>
        <w:t xml:space="preserve"> </w:t>
      </w:r>
    </w:p>
    <w:p w14:paraId="4F750B20" w14:textId="77777777" w:rsidR="0013112F" w:rsidRDefault="002C1596" w:rsidP="001C52D7">
      <w:pPr>
        <w:pStyle w:val="ListParagraph"/>
        <w:numPr>
          <w:ilvl w:val="0"/>
          <w:numId w:val="1"/>
        </w:numPr>
      </w:pPr>
      <w:r>
        <w:t xml:space="preserve">The Chair of Northern A relayed that all HDECs are now at full membership after appointments with a range of diverse backgrounds. The HDEC website has been updated with all bios of new members for the Committee and the public to look at. </w:t>
      </w:r>
    </w:p>
    <w:p w14:paraId="1015BA63" w14:textId="77777777" w:rsidR="0013112F" w:rsidRDefault="002C1596" w:rsidP="001C52D7">
      <w:pPr>
        <w:pStyle w:val="ListParagraph"/>
        <w:numPr>
          <w:ilvl w:val="0"/>
          <w:numId w:val="1"/>
        </w:numPr>
      </w:pPr>
      <w:r>
        <w:t xml:space="preserve">The Chair gave an overview of submissions received to date and reported that turnaround times were within target dates, noting that the new system allows for easier review for members. </w:t>
      </w:r>
    </w:p>
    <w:p w14:paraId="7F0BAABB" w14:textId="77777777" w:rsidR="0013112F" w:rsidRDefault="002C1596" w:rsidP="001C52D7">
      <w:pPr>
        <w:pStyle w:val="ListParagraph"/>
        <w:numPr>
          <w:ilvl w:val="0"/>
          <w:numId w:val="1"/>
        </w:numPr>
      </w:pPr>
      <w:r>
        <w:t xml:space="preserve">The range </w:t>
      </w:r>
      <w:r w:rsidR="008A2292">
        <w:t xml:space="preserve">of high-risk studies were broad, with a </w:t>
      </w:r>
      <w:r w:rsidR="006A3A92">
        <w:t xml:space="preserve">high number involving vulnerable participants (which varies), participants under 16 years of age and some participants enrolled under Right 7(4). The Chair noted that the applicants are always willing to have good discussions around </w:t>
      </w:r>
      <w:r w:rsidR="00462384">
        <w:t xml:space="preserve">risk. </w:t>
      </w:r>
    </w:p>
    <w:p w14:paraId="440EA6E0" w14:textId="77777777" w:rsidR="0013112F" w:rsidRDefault="00462384" w:rsidP="001C52D7">
      <w:pPr>
        <w:pStyle w:val="ListParagraph"/>
        <w:numPr>
          <w:ilvl w:val="0"/>
          <w:numId w:val="1"/>
        </w:numPr>
      </w:pPr>
      <w:r>
        <w:t>The HDECs along with the Secretariat developed advertising guidelines for clinical studies which is now available online. The participant information sheet (PIS) templates were also updated to remove gendered pronouns</w:t>
      </w:r>
      <w:r w:rsidR="00B0281E">
        <w:t xml:space="preserve"> as well as the inclusion of more explicit references to the GP being informed of participation. In addition, the HDEC application form is being updated to </w:t>
      </w:r>
      <w:r w:rsidR="007827A5">
        <w:t xml:space="preserve">include further disability questions to better assist researchers to meet chapter 5 of the National Standards. </w:t>
      </w:r>
    </w:p>
    <w:p w14:paraId="27FE6274" w14:textId="1EDA5ED8" w:rsidR="002C1596" w:rsidRPr="00C94EC6" w:rsidRDefault="00302918" w:rsidP="001C52D7">
      <w:pPr>
        <w:pStyle w:val="ListParagraph"/>
        <w:numPr>
          <w:ilvl w:val="0"/>
          <w:numId w:val="1"/>
        </w:numPr>
      </w:pPr>
      <w:r>
        <w:t>The Committee queried with the Chair any incidence of deaths</w:t>
      </w:r>
      <w:r>
        <w:rPr>
          <w:color w:val="000000"/>
        </w:rPr>
        <w:t xml:space="preserve"> and </w:t>
      </w:r>
      <w:r>
        <w:t xml:space="preserve">the increase in complex genetic studies. </w:t>
      </w:r>
      <w:r w:rsidR="005B7206">
        <w:t xml:space="preserve">The Chair summarised key issues linked to age-related </w:t>
      </w:r>
      <w:r w:rsidR="002A0EE4">
        <w:t>consent and</w:t>
      </w:r>
      <w:r w:rsidR="005B7206">
        <w:t xml:space="preserve"> noted that the HDECs </w:t>
      </w:r>
      <w:r w:rsidR="002A0EE4">
        <w:t xml:space="preserve">ensure children are getting information in a way they can understand and not be pressured. </w:t>
      </w:r>
    </w:p>
    <w:p w14:paraId="07227A85" w14:textId="7CAD7DF7" w:rsidR="001C52D7" w:rsidRPr="00C94EC6" w:rsidRDefault="001C52D7" w:rsidP="001C52D7">
      <w:pPr>
        <w:pStyle w:val="Heading1"/>
        <w:rPr>
          <w:b/>
          <w:bCs/>
          <w:color w:val="324F5C"/>
          <w:sz w:val="28"/>
          <w:szCs w:val="28"/>
        </w:rPr>
      </w:pPr>
      <w:bookmarkStart w:id="26" w:name="_Toc110257881"/>
      <w:r>
        <w:rPr>
          <w:b/>
          <w:bCs/>
          <w:color w:val="324F5C"/>
          <w:sz w:val="28"/>
          <w:szCs w:val="28"/>
        </w:rPr>
        <w:t>Clinical ethics query</w:t>
      </w:r>
      <w:bookmarkEnd w:id="26"/>
    </w:p>
    <w:p w14:paraId="50C2EEFF" w14:textId="489DC370" w:rsidR="001C52D7" w:rsidRPr="00C94EC6" w:rsidRDefault="001F5963" w:rsidP="001C52D7">
      <w:pPr>
        <w:pStyle w:val="ListParagraph"/>
        <w:numPr>
          <w:ilvl w:val="0"/>
          <w:numId w:val="1"/>
        </w:numPr>
      </w:pPr>
      <w:r>
        <w:t>A letter was received that was revisiting prior correspondence from 2020. The Committee were in agreement that the author is welcome to discuss their query with NEAC directly</w:t>
      </w:r>
      <w:r w:rsidR="008574C1">
        <w:t xml:space="preserve"> about clinical ethics. </w:t>
      </w:r>
    </w:p>
    <w:p w14:paraId="61578CB1" w14:textId="4CD6AE3B" w:rsidR="001C52D7" w:rsidRPr="00C94EC6" w:rsidRDefault="001C52D7" w:rsidP="001C52D7">
      <w:pPr>
        <w:pStyle w:val="Heading2"/>
        <w:rPr>
          <w:b/>
          <w:bCs/>
          <w:color w:val="324F5C"/>
        </w:rPr>
      </w:pPr>
      <w:bookmarkStart w:id="27" w:name="_Toc110257882"/>
      <w:r w:rsidRPr="00C94EC6">
        <w:rPr>
          <w:b/>
          <w:bCs/>
          <w:color w:val="324F5C"/>
        </w:rPr>
        <w:t>Actions</w:t>
      </w:r>
      <w:bookmarkEnd w:id="27"/>
    </w:p>
    <w:p w14:paraId="050E7C8A" w14:textId="1AA8789E" w:rsidR="001C52D7" w:rsidRPr="009952F8" w:rsidRDefault="000C4F74" w:rsidP="001C52D7">
      <w:pPr>
        <w:pStyle w:val="ListParagraph"/>
        <w:numPr>
          <w:ilvl w:val="0"/>
          <w:numId w:val="8"/>
        </w:numPr>
      </w:pPr>
      <w:r w:rsidRPr="009952F8">
        <w:t>Secretariat to invite author of letter to discuss their query directly with the Committee</w:t>
      </w:r>
    </w:p>
    <w:p w14:paraId="48AC25E9" w14:textId="7EBC4E65" w:rsidR="001C52D7" w:rsidRPr="00C94EC6" w:rsidRDefault="001C52D7" w:rsidP="001C52D7">
      <w:pPr>
        <w:pStyle w:val="Heading1"/>
        <w:rPr>
          <w:b/>
          <w:bCs/>
          <w:color w:val="324F5C"/>
          <w:sz w:val="28"/>
          <w:szCs w:val="28"/>
        </w:rPr>
      </w:pPr>
      <w:bookmarkStart w:id="28" w:name="_Toc110257883"/>
      <w:r>
        <w:rPr>
          <w:b/>
          <w:bCs/>
          <w:color w:val="324F5C"/>
          <w:sz w:val="28"/>
          <w:szCs w:val="28"/>
        </w:rPr>
        <w:t>Research involving participants who are unable to give informed consent</w:t>
      </w:r>
      <w:bookmarkEnd w:id="28"/>
      <w:r>
        <w:rPr>
          <w:b/>
          <w:bCs/>
          <w:color w:val="324F5C"/>
          <w:sz w:val="28"/>
          <w:szCs w:val="28"/>
        </w:rPr>
        <w:t xml:space="preserve"> </w:t>
      </w:r>
    </w:p>
    <w:p w14:paraId="4BEE6A70" w14:textId="619E9F5D" w:rsidR="00D007BB" w:rsidRPr="00C94EC6" w:rsidRDefault="00D007BB" w:rsidP="001C52D7">
      <w:pPr>
        <w:pStyle w:val="ListParagraph"/>
        <w:numPr>
          <w:ilvl w:val="0"/>
          <w:numId w:val="1"/>
        </w:numPr>
      </w:pPr>
      <w:bookmarkStart w:id="29" w:name="_Hlk112322151"/>
      <w:r>
        <w:t xml:space="preserve">The Secretariat gave an update on Right 7(4) and confirmed there will be a review of the </w:t>
      </w:r>
      <w:r w:rsidR="00522EEC">
        <w:t>A</w:t>
      </w:r>
      <w:r>
        <w:t xml:space="preserve">ct and Code of Rights with public consultation in 2023-2024. It was noted that the consultation </w:t>
      </w:r>
      <w:r>
        <w:lastRenderedPageBreak/>
        <w:t xml:space="preserve">on proposed </w:t>
      </w:r>
      <w:bookmarkEnd w:id="29"/>
      <w:r>
        <w:t>changes is unlikely to happen until the Ministry puts processes in place and NEAC update</w:t>
      </w:r>
      <w:r w:rsidR="00522EEC">
        <w:t>s</w:t>
      </w:r>
      <w:r>
        <w:t xml:space="preserve"> the Standards. After discussion, it was agreed that further discussion between NEAC and </w:t>
      </w:r>
      <w:r w:rsidR="00522EEC">
        <w:t xml:space="preserve">the </w:t>
      </w:r>
      <w:r>
        <w:t xml:space="preserve">HDC </w:t>
      </w:r>
      <w:r w:rsidR="00522EEC">
        <w:t>is</w:t>
      </w:r>
      <w:r>
        <w:t xml:space="preserve"> required</w:t>
      </w:r>
      <w:r w:rsidR="006D716B">
        <w:t xml:space="preserve"> to determine what is meant by risk</w:t>
      </w:r>
      <w:r w:rsidR="002876DC">
        <w:t xml:space="preserve"> and ensure both are in agreement on what cases should be prohibited. </w:t>
      </w:r>
    </w:p>
    <w:p w14:paraId="518204F2" w14:textId="245D7DF1" w:rsidR="001C52D7" w:rsidRPr="00C94EC6" w:rsidRDefault="001C52D7" w:rsidP="001C52D7">
      <w:pPr>
        <w:pStyle w:val="Heading2"/>
        <w:rPr>
          <w:b/>
          <w:bCs/>
          <w:color w:val="324F5C"/>
        </w:rPr>
      </w:pPr>
      <w:bookmarkStart w:id="30" w:name="_Toc110257884"/>
      <w:r w:rsidRPr="00C94EC6">
        <w:rPr>
          <w:b/>
          <w:bCs/>
          <w:color w:val="324F5C"/>
        </w:rPr>
        <w:t>Actions</w:t>
      </w:r>
      <w:bookmarkEnd w:id="30"/>
    </w:p>
    <w:p w14:paraId="2B45C7CC" w14:textId="1F938667" w:rsidR="001C52D7" w:rsidRPr="00AA3BDE" w:rsidRDefault="009924FD" w:rsidP="001C52D7">
      <w:pPr>
        <w:pStyle w:val="ListParagraph"/>
        <w:numPr>
          <w:ilvl w:val="0"/>
          <w:numId w:val="8"/>
        </w:numPr>
      </w:pPr>
      <w:r w:rsidRPr="00AA3BDE">
        <w:t>Secretariat</w:t>
      </w:r>
      <w:r w:rsidR="00262661" w:rsidRPr="00AA3BDE">
        <w:t xml:space="preserve"> to circulate paper </w:t>
      </w:r>
      <w:r w:rsidRPr="00AA3BDE">
        <w:t>that raised issues about the</w:t>
      </w:r>
      <w:r w:rsidR="00401392" w:rsidRPr="00AA3BDE">
        <w:t xml:space="preserve"> terminology the HDC are proposing</w:t>
      </w:r>
      <w:r w:rsidR="00A66304" w:rsidRPr="00AA3BDE">
        <w:t xml:space="preserve">. </w:t>
      </w:r>
    </w:p>
    <w:p w14:paraId="57516116" w14:textId="241B4B5D" w:rsidR="007C77C8" w:rsidRPr="00905911" w:rsidRDefault="007C77C8" w:rsidP="007C77C8">
      <w:pPr>
        <w:pStyle w:val="Heading1"/>
        <w:rPr>
          <w:b/>
          <w:bCs/>
          <w:color w:val="324F5C"/>
          <w:sz w:val="28"/>
          <w:szCs w:val="28"/>
        </w:rPr>
      </w:pPr>
      <w:bookmarkStart w:id="31" w:name="_Toc110257885"/>
      <w:r w:rsidRPr="00905911">
        <w:rPr>
          <w:b/>
          <w:bCs/>
          <w:color w:val="324F5C"/>
          <w:sz w:val="28"/>
          <w:szCs w:val="28"/>
        </w:rPr>
        <w:t>Work between meetings</w:t>
      </w:r>
      <w:bookmarkEnd w:id="31"/>
    </w:p>
    <w:p w14:paraId="27D23855" w14:textId="3C370C7B" w:rsidR="001C52D7" w:rsidRDefault="00A66304" w:rsidP="00DB2EF8">
      <w:pPr>
        <w:pStyle w:val="ListParagraph"/>
        <w:numPr>
          <w:ilvl w:val="0"/>
          <w:numId w:val="1"/>
        </w:numPr>
      </w:pPr>
      <w:r w:rsidRPr="00905911">
        <w:t xml:space="preserve">The Rangatiratanga subgroup, Ethical Guidance </w:t>
      </w:r>
      <w:r w:rsidR="009A5D6C" w:rsidRPr="00905911">
        <w:t xml:space="preserve">for a Pandemic </w:t>
      </w:r>
      <w:r w:rsidR="00522EEC" w:rsidRPr="00905911">
        <w:t>sub</w:t>
      </w:r>
      <w:r w:rsidR="009A5D6C" w:rsidRPr="00905911">
        <w:t>group and Standard</w:t>
      </w:r>
      <w:r w:rsidR="00522EEC" w:rsidRPr="00905911">
        <w:t>s</w:t>
      </w:r>
      <w:r w:rsidR="009A5D6C" w:rsidRPr="00905911">
        <w:t xml:space="preserve"> </w:t>
      </w:r>
      <w:r w:rsidR="00522EEC" w:rsidRPr="00905911">
        <w:t>sub</w:t>
      </w:r>
      <w:r w:rsidR="009A5D6C" w:rsidRPr="00905911">
        <w:t xml:space="preserve"> groups are all</w:t>
      </w:r>
      <w:r w:rsidR="009A5D6C" w:rsidRPr="00AA3BDE">
        <w:t xml:space="preserve"> active, with the Secretariat in contact with each of them about next steps and meetings. </w:t>
      </w:r>
      <w:r w:rsidR="00AA3BDE" w:rsidRPr="00AA3BDE">
        <w:t xml:space="preserve">A subgroup to progress the Framework was formed. </w:t>
      </w:r>
      <w:r w:rsidR="009A5D6C" w:rsidRPr="00AA3BDE">
        <w:t xml:space="preserve"> </w:t>
      </w:r>
    </w:p>
    <w:p w14:paraId="235FC02C" w14:textId="078DF0D5" w:rsidR="003A3C0E" w:rsidRPr="00C94EC6" w:rsidRDefault="003A3C0E" w:rsidP="00BD0386">
      <w:r>
        <w:t xml:space="preserve"> </w:t>
      </w:r>
    </w:p>
    <w:sectPr w:rsidR="003A3C0E" w:rsidRPr="00C94EC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F4EF" w14:textId="77777777" w:rsidR="00FF76B3" w:rsidRDefault="00FF76B3" w:rsidP="00D91C65">
      <w:pPr>
        <w:spacing w:after="0" w:line="240" w:lineRule="auto"/>
      </w:pPr>
      <w:r>
        <w:separator/>
      </w:r>
    </w:p>
  </w:endnote>
  <w:endnote w:type="continuationSeparator" w:id="0">
    <w:p w14:paraId="496BEC26" w14:textId="77777777" w:rsidR="00FF76B3" w:rsidRDefault="00FF76B3" w:rsidP="00D91C65">
      <w:pPr>
        <w:spacing w:after="0" w:line="240" w:lineRule="auto"/>
      </w:pPr>
      <w:r>
        <w:continuationSeparator/>
      </w:r>
    </w:p>
  </w:endnote>
  <w:endnote w:type="continuationNotice" w:id="1">
    <w:p w14:paraId="16EFA877" w14:textId="77777777" w:rsidR="00FF76B3" w:rsidRDefault="00FF7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85524"/>
      <w:docPartObj>
        <w:docPartGallery w:val="Page Numbers (Bottom of Page)"/>
        <w:docPartUnique/>
      </w:docPartObj>
    </w:sdtPr>
    <w:sdtEndPr>
      <w:rPr>
        <w:noProof/>
      </w:rPr>
    </w:sdtEndPr>
    <w:sdtContent>
      <w:p w14:paraId="17F11BCB" w14:textId="561A89E6" w:rsidR="00D91C65" w:rsidRDefault="00D91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C6EFF" w14:textId="3C6CA44E" w:rsidR="00D91C65" w:rsidRPr="00D91C65" w:rsidRDefault="00D91C65">
    <w:pPr>
      <w:pStyle w:val="Footer"/>
    </w:pPr>
    <w:r>
      <w:t xml:space="preserve">National Ethics Advisory Committee </w:t>
    </w:r>
    <w:r w:rsidR="0081659E">
      <w:t>–</w:t>
    </w:r>
    <w:r>
      <w:t xml:space="preserve"> </w:t>
    </w:r>
    <w:r w:rsidR="0081659E" w:rsidRPr="0081659E">
      <w:t>28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EA29" w14:textId="77777777" w:rsidR="00FF76B3" w:rsidRDefault="00FF76B3" w:rsidP="00D91C65">
      <w:pPr>
        <w:spacing w:after="0" w:line="240" w:lineRule="auto"/>
      </w:pPr>
      <w:r>
        <w:separator/>
      </w:r>
    </w:p>
  </w:footnote>
  <w:footnote w:type="continuationSeparator" w:id="0">
    <w:p w14:paraId="638E2CD3" w14:textId="77777777" w:rsidR="00FF76B3" w:rsidRDefault="00FF76B3" w:rsidP="00D91C65">
      <w:pPr>
        <w:spacing w:after="0" w:line="240" w:lineRule="auto"/>
      </w:pPr>
      <w:r>
        <w:continuationSeparator/>
      </w:r>
    </w:p>
  </w:footnote>
  <w:footnote w:type="continuationNotice" w:id="1">
    <w:p w14:paraId="0D4753F8" w14:textId="77777777" w:rsidR="00FF76B3" w:rsidRDefault="00FF76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A131" w14:textId="2AD0A9D0" w:rsidR="00D91C65" w:rsidRDefault="00D91C65">
    <w:pPr>
      <w:pStyle w:val="Header"/>
    </w:pPr>
    <w:r>
      <w:rPr>
        <w:noProof/>
      </w:rPr>
      <w:drawing>
        <wp:anchor distT="0" distB="0" distL="114300" distR="114300" simplePos="0" relativeHeight="251658240" behindDoc="1" locked="0" layoutInCell="1" allowOverlap="1" wp14:anchorId="220F62E9" wp14:editId="205F0F13">
          <wp:simplePos x="0" y="0"/>
          <wp:positionH relativeFrom="margin">
            <wp:align>center</wp:align>
          </wp:positionH>
          <wp:positionV relativeFrom="paragraph">
            <wp:posOffset>-181631</wp:posOffset>
          </wp:positionV>
          <wp:extent cx="790575" cy="448945"/>
          <wp:effectExtent l="0" t="0" r="9525" b="8255"/>
          <wp:wrapTight wrapText="bothSides">
            <wp:wrapPolygon edited="0">
              <wp:start x="0" y="0"/>
              <wp:lineTo x="0" y="21081"/>
              <wp:lineTo x="21340" y="21081"/>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EB6"/>
    <w:multiLevelType w:val="hybridMultilevel"/>
    <w:tmpl w:val="BDA63438"/>
    <w:lvl w:ilvl="0" w:tplc="9AA4129A">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35812"/>
    <w:multiLevelType w:val="hybridMultilevel"/>
    <w:tmpl w:val="B17C7354"/>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CBC3A57"/>
    <w:multiLevelType w:val="hybridMultilevel"/>
    <w:tmpl w:val="DB3ADE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DF619E"/>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FE279F"/>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1F1E52"/>
    <w:multiLevelType w:val="hybridMultilevel"/>
    <w:tmpl w:val="CFD84CC2"/>
    <w:lvl w:ilvl="0" w:tplc="0562DBA6">
      <w:start w:val="1"/>
      <w:numFmt w:val="bullet"/>
      <w:pStyle w:val="2ndlevelbulletdash"/>
      <w:lvlText w:val="–"/>
      <w:lvlJc w:val="left"/>
      <w:pPr>
        <w:ind w:left="1607" w:hanging="360"/>
      </w:pPr>
      <w:rPr>
        <w:rFonts w:ascii="Arial" w:eastAsia="Times New Roman" w:hAnsi="Arial" w:cs="Arial" w:hint="default"/>
      </w:rPr>
    </w:lvl>
    <w:lvl w:ilvl="1" w:tplc="14090003">
      <w:start w:val="1"/>
      <w:numFmt w:val="bullet"/>
      <w:lvlText w:val="o"/>
      <w:lvlJc w:val="left"/>
      <w:pPr>
        <w:ind w:left="2327" w:hanging="360"/>
      </w:pPr>
      <w:rPr>
        <w:rFonts w:ascii="Courier New" w:hAnsi="Courier New" w:cs="Courier New" w:hint="default"/>
      </w:rPr>
    </w:lvl>
    <w:lvl w:ilvl="2" w:tplc="14090005">
      <w:start w:val="1"/>
      <w:numFmt w:val="bullet"/>
      <w:lvlText w:val=""/>
      <w:lvlJc w:val="left"/>
      <w:pPr>
        <w:ind w:left="3047" w:hanging="360"/>
      </w:pPr>
      <w:rPr>
        <w:rFonts w:ascii="Wingdings" w:hAnsi="Wingdings" w:hint="default"/>
      </w:rPr>
    </w:lvl>
    <w:lvl w:ilvl="3" w:tplc="14090001">
      <w:start w:val="1"/>
      <w:numFmt w:val="bullet"/>
      <w:lvlText w:val=""/>
      <w:lvlJc w:val="left"/>
      <w:pPr>
        <w:ind w:left="3767" w:hanging="360"/>
      </w:pPr>
      <w:rPr>
        <w:rFonts w:ascii="Symbol" w:hAnsi="Symbol" w:hint="default"/>
      </w:rPr>
    </w:lvl>
    <w:lvl w:ilvl="4" w:tplc="14090003">
      <w:start w:val="1"/>
      <w:numFmt w:val="bullet"/>
      <w:lvlText w:val="o"/>
      <w:lvlJc w:val="left"/>
      <w:pPr>
        <w:ind w:left="4487" w:hanging="360"/>
      </w:pPr>
      <w:rPr>
        <w:rFonts w:ascii="Courier New" w:hAnsi="Courier New" w:cs="Courier New" w:hint="default"/>
      </w:rPr>
    </w:lvl>
    <w:lvl w:ilvl="5" w:tplc="14090005">
      <w:start w:val="1"/>
      <w:numFmt w:val="bullet"/>
      <w:lvlText w:val=""/>
      <w:lvlJc w:val="left"/>
      <w:pPr>
        <w:ind w:left="5207" w:hanging="360"/>
      </w:pPr>
      <w:rPr>
        <w:rFonts w:ascii="Wingdings" w:hAnsi="Wingdings" w:hint="default"/>
      </w:rPr>
    </w:lvl>
    <w:lvl w:ilvl="6" w:tplc="14090001">
      <w:start w:val="1"/>
      <w:numFmt w:val="bullet"/>
      <w:lvlText w:val=""/>
      <w:lvlJc w:val="left"/>
      <w:pPr>
        <w:ind w:left="5927" w:hanging="360"/>
      </w:pPr>
      <w:rPr>
        <w:rFonts w:ascii="Symbol" w:hAnsi="Symbol" w:hint="default"/>
      </w:rPr>
    </w:lvl>
    <w:lvl w:ilvl="7" w:tplc="14090003">
      <w:start w:val="1"/>
      <w:numFmt w:val="bullet"/>
      <w:lvlText w:val="o"/>
      <w:lvlJc w:val="left"/>
      <w:pPr>
        <w:ind w:left="6647" w:hanging="360"/>
      </w:pPr>
      <w:rPr>
        <w:rFonts w:ascii="Courier New" w:hAnsi="Courier New" w:cs="Courier New" w:hint="default"/>
      </w:rPr>
    </w:lvl>
    <w:lvl w:ilvl="8" w:tplc="14090005">
      <w:start w:val="1"/>
      <w:numFmt w:val="bullet"/>
      <w:lvlText w:val=""/>
      <w:lvlJc w:val="left"/>
      <w:pPr>
        <w:ind w:left="7367" w:hanging="360"/>
      </w:pPr>
      <w:rPr>
        <w:rFonts w:ascii="Wingdings" w:hAnsi="Wingdings" w:hint="default"/>
      </w:rPr>
    </w:lvl>
  </w:abstractNum>
  <w:abstractNum w:abstractNumId="6" w15:restartNumberingAfterBreak="0">
    <w:nsid w:val="244062C7"/>
    <w:multiLevelType w:val="hybridMultilevel"/>
    <w:tmpl w:val="193C9A2C"/>
    <w:lvl w:ilvl="0" w:tplc="465EEED2">
      <w:start w:val="1"/>
      <w:numFmt w:val="bullet"/>
      <w:pStyle w:val="BulletsNES"/>
      <w:lvlText w:val=""/>
      <w:lvlJc w:val="left"/>
      <w:pPr>
        <w:ind w:left="1342" w:hanging="360"/>
      </w:pPr>
      <w:rPr>
        <w:rFonts w:ascii="Wingdings 2" w:hAnsi="Wingdings 2" w:hint="default"/>
        <w:b/>
        <w:i w:val="0"/>
        <w:color w:val="ED7D31"/>
        <w:w w:val="100"/>
        <w:sz w:val="20"/>
        <w:szCs w:val="15"/>
      </w:rPr>
    </w:lvl>
    <w:lvl w:ilvl="1" w:tplc="14090003">
      <w:start w:val="1"/>
      <w:numFmt w:val="bullet"/>
      <w:lvlText w:val="o"/>
      <w:lvlJc w:val="left"/>
      <w:pPr>
        <w:ind w:left="2062" w:hanging="360"/>
      </w:pPr>
      <w:rPr>
        <w:rFonts w:ascii="Courier New" w:hAnsi="Courier New" w:cs="Courier New" w:hint="default"/>
      </w:rPr>
    </w:lvl>
    <w:lvl w:ilvl="2" w:tplc="14090005">
      <w:start w:val="1"/>
      <w:numFmt w:val="bullet"/>
      <w:lvlText w:val=""/>
      <w:lvlJc w:val="left"/>
      <w:pPr>
        <w:ind w:left="2782" w:hanging="360"/>
      </w:pPr>
      <w:rPr>
        <w:rFonts w:ascii="Wingdings" w:hAnsi="Wingdings" w:hint="default"/>
      </w:rPr>
    </w:lvl>
    <w:lvl w:ilvl="3" w:tplc="14090001">
      <w:start w:val="1"/>
      <w:numFmt w:val="bullet"/>
      <w:lvlText w:val=""/>
      <w:lvlJc w:val="left"/>
      <w:pPr>
        <w:ind w:left="3502" w:hanging="360"/>
      </w:pPr>
      <w:rPr>
        <w:rFonts w:ascii="Symbol" w:hAnsi="Symbol" w:hint="default"/>
      </w:rPr>
    </w:lvl>
    <w:lvl w:ilvl="4" w:tplc="14090003">
      <w:start w:val="1"/>
      <w:numFmt w:val="bullet"/>
      <w:lvlText w:val="o"/>
      <w:lvlJc w:val="left"/>
      <w:pPr>
        <w:ind w:left="4222" w:hanging="360"/>
      </w:pPr>
      <w:rPr>
        <w:rFonts w:ascii="Courier New" w:hAnsi="Courier New" w:cs="Courier New" w:hint="default"/>
      </w:rPr>
    </w:lvl>
    <w:lvl w:ilvl="5" w:tplc="14090005">
      <w:start w:val="1"/>
      <w:numFmt w:val="bullet"/>
      <w:lvlText w:val=""/>
      <w:lvlJc w:val="left"/>
      <w:pPr>
        <w:ind w:left="4942" w:hanging="360"/>
      </w:pPr>
      <w:rPr>
        <w:rFonts w:ascii="Wingdings" w:hAnsi="Wingdings" w:hint="default"/>
      </w:rPr>
    </w:lvl>
    <w:lvl w:ilvl="6" w:tplc="14090001">
      <w:start w:val="1"/>
      <w:numFmt w:val="bullet"/>
      <w:lvlText w:val=""/>
      <w:lvlJc w:val="left"/>
      <w:pPr>
        <w:ind w:left="5662" w:hanging="360"/>
      </w:pPr>
      <w:rPr>
        <w:rFonts w:ascii="Symbol" w:hAnsi="Symbol" w:hint="default"/>
      </w:rPr>
    </w:lvl>
    <w:lvl w:ilvl="7" w:tplc="14090003">
      <w:start w:val="1"/>
      <w:numFmt w:val="bullet"/>
      <w:lvlText w:val="o"/>
      <w:lvlJc w:val="left"/>
      <w:pPr>
        <w:ind w:left="6382" w:hanging="360"/>
      </w:pPr>
      <w:rPr>
        <w:rFonts w:ascii="Courier New" w:hAnsi="Courier New" w:cs="Courier New" w:hint="default"/>
      </w:rPr>
    </w:lvl>
    <w:lvl w:ilvl="8" w:tplc="14090005">
      <w:start w:val="1"/>
      <w:numFmt w:val="bullet"/>
      <w:lvlText w:val=""/>
      <w:lvlJc w:val="left"/>
      <w:pPr>
        <w:ind w:left="7102" w:hanging="360"/>
      </w:pPr>
      <w:rPr>
        <w:rFonts w:ascii="Wingdings" w:hAnsi="Wingdings" w:hint="default"/>
      </w:rPr>
    </w:lvl>
  </w:abstractNum>
  <w:abstractNum w:abstractNumId="7" w15:restartNumberingAfterBreak="0">
    <w:nsid w:val="26BA6A7C"/>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001A82"/>
    <w:multiLevelType w:val="hybridMultilevel"/>
    <w:tmpl w:val="68D04C74"/>
    <w:lvl w:ilvl="0" w:tplc="C2E089B4">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5B1EEE"/>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6D07636"/>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7975668"/>
    <w:multiLevelType w:val="hybridMultilevel"/>
    <w:tmpl w:val="FA202BAA"/>
    <w:lvl w:ilvl="0" w:tplc="2F0C2606">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3C40287E"/>
    <w:multiLevelType w:val="hybridMultilevel"/>
    <w:tmpl w:val="4072B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FC0A67"/>
    <w:multiLevelType w:val="hybridMultilevel"/>
    <w:tmpl w:val="75BC50E8"/>
    <w:lvl w:ilvl="0" w:tplc="844494C4">
      <w:start w:val="7"/>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FD5E29"/>
    <w:multiLevelType w:val="hybridMultilevel"/>
    <w:tmpl w:val="3208D9EA"/>
    <w:lvl w:ilvl="0" w:tplc="844494C4">
      <w:start w:val="7"/>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161D5A"/>
    <w:multiLevelType w:val="hybridMultilevel"/>
    <w:tmpl w:val="F56A9880"/>
    <w:lvl w:ilvl="0" w:tplc="EF6C8944">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6F94897"/>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9AE3E3D"/>
    <w:multiLevelType w:val="hybridMultilevel"/>
    <w:tmpl w:val="52BEC07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FF7488"/>
    <w:multiLevelType w:val="hybridMultilevel"/>
    <w:tmpl w:val="8C062450"/>
    <w:lvl w:ilvl="0" w:tplc="F10A9EE8">
      <w:start w:val="6"/>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1F23C63"/>
    <w:multiLevelType w:val="hybridMultilevel"/>
    <w:tmpl w:val="ABB23A1C"/>
    <w:lvl w:ilvl="0" w:tplc="C2E089B4">
      <w:start w:val="6"/>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686C35F9"/>
    <w:multiLevelType w:val="hybridMultilevel"/>
    <w:tmpl w:val="BE44A7A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920379A"/>
    <w:multiLevelType w:val="hybridMultilevel"/>
    <w:tmpl w:val="3D6EF5B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ABF74C5"/>
    <w:multiLevelType w:val="hybridMultilevel"/>
    <w:tmpl w:val="4ED4B35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C1B03F1"/>
    <w:multiLevelType w:val="hybridMultilevel"/>
    <w:tmpl w:val="49687A0A"/>
    <w:lvl w:ilvl="0" w:tplc="9C40DEA8">
      <w:start w:val="1"/>
      <w:numFmt w:val="decimal"/>
      <w:pStyle w:val="2ndlevelbullets"/>
      <w:lvlText w:val="%1."/>
      <w:lvlJc w:val="left"/>
      <w:pPr>
        <w:ind w:left="720" w:hanging="360"/>
      </w:pPr>
      <w:rPr>
        <w:color w:val="auto"/>
      </w:rPr>
    </w:lvl>
    <w:lvl w:ilvl="1" w:tplc="98461C64">
      <w:start w:val="1"/>
      <w:numFmt w:val="lowerLetter"/>
      <w:lvlText w:val="%2."/>
      <w:lvlJc w:val="left"/>
      <w:pPr>
        <w:ind w:left="1440" w:hanging="360"/>
      </w:pPr>
      <w:rPr>
        <w:color w:val="auto"/>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DD551E7"/>
    <w:multiLevelType w:val="hybridMultilevel"/>
    <w:tmpl w:val="850CC5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71547E3A"/>
    <w:multiLevelType w:val="hybridMultilevel"/>
    <w:tmpl w:val="7CEA9238"/>
    <w:lvl w:ilvl="0" w:tplc="C2E089B4">
      <w:start w:val="6"/>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74164648"/>
    <w:multiLevelType w:val="hybridMultilevel"/>
    <w:tmpl w:val="7B20FBA0"/>
    <w:lvl w:ilvl="0" w:tplc="D58E5698">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7641AA8"/>
    <w:multiLevelType w:val="hybridMultilevel"/>
    <w:tmpl w:val="5254B79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CB87056"/>
    <w:multiLevelType w:val="hybridMultilevel"/>
    <w:tmpl w:val="05F04A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EB81C99"/>
    <w:multiLevelType w:val="hybridMultilevel"/>
    <w:tmpl w:val="CD60957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27"/>
  </w:num>
  <w:num w:numId="3">
    <w:abstractNumId w:val="18"/>
  </w:num>
  <w:num w:numId="4">
    <w:abstractNumId w:val="0"/>
  </w:num>
  <w:num w:numId="5">
    <w:abstractNumId w:val="8"/>
  </w:num>
  <w:num w:numId="6">
    <w:abstractNumId w:val="25"/>
  </w:num>
  <w:num w:numId="7">
    <w:abstractNumId w:val="19"/>
  </w:num>
  <w:num w:numId="8">
    <w:abstractNumId w:val="1"/>
  </w:num>
  <w:num w:numId="9">
    <w:abstractNumId w:val="14"/>
  </w:num>
  <w:num w:numId="10">
    <w:abstractNumId w:val="13"/>
  </w:num>
  <w:num w:numId="11">
    <w:abstractNumId w:val="21"/>
  </w:num>
  <w:num w:numId="12">
    <w:abstractNumId w:val="2"/>
  </w:num>
  <w:num w:numId="13">
    <w:abstractNumId w:val="4"/>
  </w:num>
  <w:num w:numId="14">
    <w:abstractNumId w:val="16"/>
  </w:num>
  <w:num w:numId="15">
    <w:abstractNumId w:val="28"/>
  </w:num>
  <w:num w:numId="16">
    <w:abstractNumId w:val="7"/>
  </w:num>
  <w:num w:numId="17">
    <w:abstractNumId w:val="10"/>
  </w:num>
  <w:num w:numId="18">
    <w:abstractNumId w:val="12"/>
  </w:num>
  <w:num w:numId="19">
    <w:abstractNumId w:val="3"/>
  </w:num>
  <w:num w:numId="20">
    <w:abstractNumId w:val="9"/>
  </w:num>
  <w:num w:numId="21">
    <w:abstractNumId w:val="29"/>
  </w:num>
  <w:num w:numId="22">
    <w:abstractNumId w:val="17"/>
  </w:num>
  <w:num w:numId="23">
    <w:abstractNumId w:val="22"/>
  </w:num>
  <w:num w:numId="24">
    <w:abstractNumId w:val="20"/>
  </w:num>
  <w:num w:numId="25">
    <w:abstractNumId w:val="15"/>
  </w:num>
  <w:num w:numId="26">
    <w:abstractNumId w:val="15"/>
  </w:num>
  <w:num w:numId="27">
    <w:abstractNumId w:val="24"/>
  </w:num>
  <w:num w:numId="28">
    <w:abstractNumId w:val="6"/>
  </w:num>
  <w:num w:numId="29">
    <w:abstractNumId w:val="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5"/>
    <w:rsid w:val="00006C56"/>
    <w:rsid w:val="00011359"/>
    <w:rsid w:val="000210BB"/>
    <w:rsid w:val="00022D4E"/>
    <w:rsid w:val="00023F81"/>
    <w:rsid w:val="00027F92"/>
    <w:rsid w:val="00032CAC"/>
    <w:rsid w:val="00035DF5"/>
    <w:rsid w:val="00036561"/>
    <w:rsid w:val="000378F6"/>
    <w:rsid w:val="00053486"/>
    <w:rsid w:val="00053E0C"/>
    <w:rsid w:val="00065A48"/>
    <w:rsid w:val="00066DC4"/>
    <w:rsid w:val="000A7FF7"/>
    <w:rsid w:val="000B3958"/>
    <w:rsid w:val="000B6135"/>
    <w:rsid w:val="000C2E95"/>
    <w:rsid w:val="000C4F74"/>
    <w:rsid w:val="000D31D2"/>
    <w:rsid w:val="000D57E8"/>
    <w:rsid w:val="000F01AD"/>
    <w:rsid w:val="000F38C1"/>
    <w:rsid w:val="0012780B"/>
    <w:rsid w:val="0013112F"/>
    <w:rsid w:val="00131924"/>
    <w:rsid w:val="00136006"/>
    <w:rsid w:val="00162407"/>
    <w:rsid w:val="00162C65"/>
    <w:rsid w:val="00170687"/>
    <w:rsid w:val="00174643"/>
    <w:rsid w:val="00177B79"/>
    <w:rsid w:val="00192B04"/>
    <w:rsid w:val="00194DD2"/>
    <w:rsid w:val="001B4BC4"/>
    <w:rsid w:val="001B74BD"/>
    <w:rsid w:val="001C1704"/>
    <w:rsid w:val="001C1D32"/>
    <w:rsid w:val="001C1D87"/>
    <w:rsid w:val="001C52D7"/>
    <w:rsid w:val="001D1B9A"/>
    <w:rsid w:val="001D370D"/>
    <w:rsid w:val="001D6404"/>
    <w:rsid w:val="001E2622"/>
    <w:rsid w:val="001F5963"/>
    <w:rsid w:val="00200411"/>
    <w:rsid w:val="00212571"/>
    <w:rsid w:val="00222085"/>
    <w:rsid w:val="0022318D"/>
    <w:rsid w:val="00240405"/>
    <w:rsid w:val="002425FE"/>
    <w:rsid w:val="0024517A"/>
    <w:rsid w:val="00251134"/>
    <w:rsid w:val="00252347"/>
    <w:rsid w:val="00260233"/>
    <w:rsid w:val="00262661"/>
    <w:rsid w:val="00263C52"/>
    <w:rsid w:val="00266FC7"/>
    <w:rsid w:val="002738B8"/>
    <w:rsid w:val="00273EC8"/>
    <w:rsid w:val="002827B7"/>
    <w:rsid w:val="00283B64"/>
    <w:rsid w:val="002841F0"/>
    <w:rsid w:val="002876DC"/>
    <w:rsid w:val="00292FF2"/>
    <w:rsid w:val="00295E57"/>
    <w:rsid w:val="002A0EE4"/>
    <w:rsid w:val="002B54A6"/>
    <w:rsid w:val="002B6F80"/>
    <w:rsid w:val="002C1596"/>
    <w:rsid w:val="002C7F07"/>
    <w:rsid w:val="002C7F80"/>
    <w:rsid w:val="002E53CB"/>
    <w:rsid w:val="002F244B"/>
    <w:rsid w:val="002F4FFC"/>
    <w:rsid w:val="002F6078"/>
    <w:rsid w:val="002F7D61"/>
    <w:rsid w:val="00302918"/>
    <w:rsid w:val="00303D28"/>
    <w:rsid w:val="00305CF8"/>
    <w:rsid w:val="00327ED5"/>
    <w:rsid w:val="00327F96"/>
    <w:rsid w:val="00336553"/>
    <w:rsid w:val="0034632F"/>
    <w:rsid w:val="00350BF8"/>
    <w:rsid w:val="0035756F"/>
    <w:rsid w:val="00365084"/>
    <w:rsid w:val="00371254"/>
    <w:rsid w:val="00371275"/>
    <w:rsid w:val="003750DC"/>
    <w:rsid w:val="003766F1"/>
    <w:rsid w:val="00381612"/>
    <w:rsid w:val="00387179"/>
    <w:rsid w:val="00393ECC"/>
    <w:rsid w:val="0039647C"/>
    <w:rsid w:val="003A3C0E"/>
    <w:rsid w:val="003B68D7"/>
    <w:rsid w:val="003C70A0"/>
    <w:rsid w:val="003D4C68"/>
    <w:rsid w:val="003D53C0"/>
    <w:rsid w:val="003D5953"/>
    <w:rsid w:val="003E1762"/>
    <w:rsid w:val="003E7A26"/>
    <w:rsid w:val="003F53CD"/>
    <w:rsid w:val="00401392"/>
    <w:rsid w:val="00406906"/>
    <w:rsid w:val="00412A52"/>
    <w:rsid w:val="00422521"/>
    <w:rsid w:val="00447499"/>
    <w:rsid w:val="00453B5F"/>
    <w:rsid w:val="00453DA6"/>
    <w:rsid w:val="00462384"/>
    <w:rsid w:val="00464F27"/>
    <w:rsid w:val="00487C66"/>
    <w:rsid w:val="0049191E"/>
    <w:rsid w:val="00494AE2"/>
    <w:rsid w:val="004B6826"/>
    <w:rsid w:val="004D1AFF"/>
    <w:rsid w:val="004D6772"/>
    <w:rsid w:val="004E08C1"/>
    <w:rsid w:val="00510E7C"/>
    <w:rsid w:val="00521504"/>
    <w:rsid w:val="00522EEC"/>
    <w:rsid w:val="00526274"/>
    <w:rsid w:val="00541856"/>
    <w:rsid w:val="005617A4"/>
    <w:rsid w:val="005A0494"/>
    <w:rsid w:val="005A08F6"/>
    <w:rsid w:val="005A2276"/>
    <w:rsid w:val="005B6BFF"/>
    <w:rsid w:val="005B7206"/>
    <w:rsid w:val="005E35D9"/>
    <w:rsid w:val="00601838"/>
    <w:rsid w:val="006047A6"/>
    <w:rsid w:val="0061084B"/>
    <w:rsid w:val="00613758"/>
    <w:rsid w:val="006256B3"/>
    <w:rsid w:val="006365CA"/>
    <w:rsid w:val="00646592"/>
    <w:rsid w:val="00650DB5"/>
    <w:rsid w:val="00650E7E"/>
    <w:rsid w:val="00652CD2"/>
    <w:rsid w:val="0066570D"/>
    <w:rsid w:val="006860DE"/>
    <w:rsid w:val="00686145"/>
    <w:rsid w:val="00686DE6"/>
    <w:rsid w:val="00690BAC"/>
    <w:rsid w:val="006919E3"/>
    <w:rsid w:val="006976FC"/>
    <w:rsid w:val="006A18C3"/>
    <w:rsid w:val="006A2BAA"/>
    <w:rsid w:val="006A3A92"/>
    <w:rsid w:val="006C58CC"/>
    <w:rsid w:val="006D716B"/>
    <w:rsid w:val="00712767"/>
    <w:rsid w:val="0072758A"/>
    <w:rsid w:val="007336B6"/>
    <w:rsid w:val="00734784"/>
    <w:rsid w:val="0073773C"/>
    <w:rsid w:val="0074231E"/>
    <w:rsid w:val="00765D16"/>
    <w:rsid w:val="007712B1"/>
    <w:rsid w:val="007827A5"/>
    <w:rsid w:val="00794DDD"/>
    <w:rsid w:val="00796FB0"/>
    <w:rsid w:val="007A6D98"/>
    <w:rsid w:val="007C4712"/>
    <w:rsid w:val="007C5FF0"/>
    <w:rsid w:val="007C6729"/>
    <w:rsid w:val="007C77C8"/>
    <w:rsid w:val="007D2BA6"/>
    <w:rsid w:val="007D4042"/>
    <w:rsid w:val="007D59CC"/>
    <w:rsid w:val="007D7DF8"/>
    <w:rsid w:val="007E1CB6"/>
    <w:rsid w:val="007E2C18"/>
    <w:rsid w:val="007E36C2"/>
    <w:rsid w:val="0081659E"/>
    <w:rsid w:val="008204ED"/>
    <w:rsid w:val="0083499C"/>
    <w:rsid w:val="008479C4"/>
    <w:rsid w:val="008574C1"/>
    <w:rsid w:val="0086371D"/>
    <w:rsid w:val="00883106"/>
    <w:rsid w:val="008938BD"/>
    <w:rsid w:val="008A2292"/>
    <w:rsid w:val="008A283E"/>
    <w:rsid w:val="008C0D26"/>
    <w:rsid w:val="008D0967"/>
    <w:rsid w:val="00905911"/>
    <w:rsid w:val="009073D5"/>
    <w:rsid w:val="00924120"/>
    <w:rsid w:val="009479F7"/>
    <w:rsid w:val="00960BCD"/>
    <w:rsid w:val="00971D65"/>
    <w:rsid w:val="00972430"/>
    <w:rsid w:val="009769EA"/>
    <w:rsid w:val="009865EE"/>
    <w:rsid w:val="0098752E"/>
    <w:rsid w:val="009924FD"/>
    <w:rsid w:val="00992D00"/>
    <w:rsid w:val="009930AB"/>
    <w:rsid w:val="009952F8"/>
    <w:rsid w:val="009A4E56"/>
    <w:rsid w:val="009A5D6C"/>
    <w:rsid w:val="009B250C"/>
    <w:rsid w:val="009B5A55"/>
    <w:rsid w:val="009C33A1"/>
    <w:rsid w:val="009D70D0"/>
    <w:rsid w:val="009E28E1"/>
    <w:rsid w:val="009E5B03"/>
    <w:rsid w:val="009E631C"/>
    <w:rsid w:val="009F5669"/>
    <w:rsid w:val="00A11B6E"/>
    <w:rsid w:val="00A13AD4"/>
    <w:rsid w:val="00A2360E"/>
    <w:rsid w:val="00A24AC3"/>
    <w:rsid w:val="00A376AC"/>
    <w:rsid w:val="00A4066E"/>
    <w:rsid w:val="00A411B4"/>
    <w:rsid w:val="00A47E93"/>
    <w:rsid w:val="00A51EDA"/>
    <w:rsid w:val="00A60C6E"/>
    <w:rsid w:val="00A620A7"/>
    <w:rsid w:val="00A66304"/>
    <w:rsid w:val="00A74986"/>
    <w:rsid w:val="00A75184"/>
    <w:rsid w:val="00A84556"/>
    <w:rsid w:val="00A87528"/>
    <w:rsid w:val="00A93A86"/>
    <w:rsid w:val="00A96F49"/>
    <w:rsid w:val="00AA3BDE"/>
    <w:rsid w:val="00AA75AC"/>
    <w:rsid w:val="00AA7FAD"/>
    <w:rsid w:val="00AB371C"/>
    <w:rsid w:val="00AB4CC6"/>
    <w:rsid w:val="00AC1496"/>
    <w:rsid w:val="00AF330C"/>
    <w:rsid w:val="00AF48C5"/>
    <w:rsid w:val="00B0281E"/>
    <w:rsid w:val="00B029DC"/>
    <w:rsid w:val="00B07D19"/>
    <w:rsid w:val="00B1063E"/>
    <w:rsid w:val="00B13F33"/>
    <w:rsid w:val="00B22CD4"/>
    <w:rsid w:val="00B27F5D"/>
    <w:rsid w:val="00B30F90"/>
    <w:rsid w:val="00B42210"/>
    <w:rsid w:val="00B43D84"/>
    <w:rsid w:val="00B573CD"/>
    <w:rsid w:val="00B60C8B"/>
    <w:rsid w:val="00B60E77"/>
    <w:rsid w:val="00B67417"/>
    <w:rsid w:val="00B74469"/>
    <w:rsid w:val="00B8403B"/>
    <w:rsid w:val="00BC4509"/>
    <w:rsid w:val="00BC510B"/>
    <w:rsid w:val="00BD0386"/>
    <w:rsid w:val="00BE2B52"/>
    <w:rsid w:val="00BF0AB8"/>
    <w:rsid w:val="00BF2958"/>
    <w:rsid w:val="00C0565F"/>
    <w:rsid w:val="00C21D72"/>
    <w:rsid w:val="00C25601"/>
    <w:rsid w:val="00C47510"/>
    <w:rsid w:val="00C80A6D"/>
    <w:rsid w:val="00C90C2D"/>
    <w:rsid w:val="00C94EC6"/>
    <w:rsid w:val="00CA6E74"/>
    <w:rsid w:val="00CC1AE9"/>
    <w:rsid w:val="00D007BB"/>
    <w:rsid w:val="00D129DD"/>
    <w:rsid w:val="00D204FF"/>
    <w:rsid w:val="00D24231"/>
    <w:rsid w:val="00D278A3"/>
    <w:rsid w:val="00D44847"/>
    <w:rsid w:val="00D45805"/>
    <w:rsid w:val="00D6422A"/>
    <w:rsid w:val="00D66C9C"/>
    <w:rsid w:val="00D74DE9"/>
    <w:rsid w:val="00D811D3"/>
    <w:rsid w:val="00D834E0"/>
    <w:rsid w:val="00D91C65"/>
    <w:rsid w:val="00D97666"/>
    <w:rsid w:val="00DA5680"/>
    <w:rsid w:val="00DA69C8"/>
    <w:rsid w:val="00DB2EF8"/>
    <w:rsid w:val="00DB5FA4"/>
    <w:rsid w:val="00DC30BE"/>
    <w:rsid w:val="00DE3903"/>
    <w:rsid w:val="00E157BA"/>
    <w:rsid w:val="00E236AB"/>
    <w:rsid w:val="00E246E3"/>
    <w:rsid w:val="00E3798A"/>
    <w:rsid w:val="00E559C0"/>
    <w:rsid w:val="00E63E8E"/>
    <w:rsid w:val="00E71822"/>
    <w:rsid w:val="00E84960"/>
    <w:rsid w:val="00E9333C"/>
    <w:rsid w:val="00EA14A4"/>
    <w:rsid w:val="00EA7A69"/>
    <w:rsid w:val="00EB0814"/>
    <w:rsid w:val="00EC055E"/>
    <w:rsid w:val="00EC600A"/>
    <w:rsid w:val="00ED1DD8"/>
    <w:rsid w:val="00EF2D6B"/>
    <w:rsid w:val="00EF3D8C"/>
    <w:rsid w:val="00F03A1E"/>
    <w:rsid w:val="00F15EEC"/>
    <w:rsid w:val="00F200B8"/>
    <w:rsid w:val="00F332B1"/>
    <w:rsid w:val="00F400D5"/>
    <w:rsid w:val="00F51631"/>
    <w:rsid w:val="00F54F6D"/>
    <w:rsid w:val="00F61711"/>
    <w:rsid w:val="00F74100"/>
    <w:rsid w:val="00F748CD"/>
    <w:rsid w:val="00F775E2"/>
    <w:rsid w:val="00F93476"/>
    <w:rsid w:val="00FA2650"/>
    <w:rsid w:val="00FA363E"/>
    <w:rsid w:val="00FA41E6"/>
    <w:rsid w:val="00FB4D89"/>
    <w:rsid w:val="00FD17E0"/>
    <w:rsid w:val="00FE38DA"/>
    <w:rsid w:val="00FF76B3"/>
    <w:rsid w:val="04E8E1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624"/>
  <w15:chartTrackingRefBased/>
  <w15:docId w15:val="{F22E87FF-9957-453A-BB80-236E876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4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29DD"/>
    <w:pPr>
      <w:keepNext/>
      <w:jc w:val="cente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C65"/>
  </w:style>
  <w:style w:type="paragraph" w:styleId="Footer">
    <w:name w:val="footer"/>
    <w:basedOn w:val="Normal"/>
    <w:link w:val="FooterChar"/>
    <w:uiPriority w:val="99"/>
    <w:unhideWhenUsed/>
    <w:rsid w:val="00D91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C65"/>
  </w:style>
  <w:style w:type="character" w:customStyle="1" w:styleId="Heading1Char">
    <w:name w:val="Heading 1 Char"/>
    <w:basedOn w:val="DefaultParagraphFont"/>
    <w:link w:val="Heading1"/>
    <w:uiPriority w:val="9"/>
    <w:rsid w:val="00D91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1C65"/>
    <w:pPr>
      <w:ind w:left="720"/>
      <w:contextualSpacing/>
    </w:pPr>
  </w:style>
  <w:style w:type="character" w:customStyle="1" w:styleId="Heading2Char">
    <w:name w:val="Heading 2 Char"/>
    <w:basedOn w:val="DefaultParagraphFont"/>
    <w:link w:val="Heading2"/>
    <w:uiPriority w:val="9"/>
    <w:rsid w:val="0017464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C77C8"/>
    <w:pPr>
      <w:outlineLvl w:val="9"/>
    </w:pPr>
    <w:rPr>
      <w:lang w:val="en-US"/>
    </w:rPr>
  </w:style>
  <w:style w:type="paragraph" w:styleId="TOC1">
    <w:name w:val="toc 1"/>
    <w:basedOn w:val="Normal"/>
    <w:next w:val="Normal"/>
    <w:autoRedefine/>
    <w:uiPriority w:val="39"/>
    <w:unhideWhenUsed/>
    <w:rsid w:val="007C77C8"/>
    <w:pPr>
      <w:spacing w:after="100"/>
    </w:pPr>
  </w:style>
  <w:style w:type="paragraph" w:styleId="TOC2">
    <w:name w:val="toc 2"/>
    <w:basedOn w:val="Normal"/>
    <w:next w:val="Normal"/>
    <w:autoRedefine/>
    <w:uiPriority w:val="39"/>
    <w:unhideWhenUsed/>
    <w:rsid w:val="007C77C8"/>
    <w:pPr>
      <w:spacing w:after="100"/>
      <w:ind w:left="220"/>
    </w:pPr>
  </w:style>
  <w:style w:type="character" w:styleId="Hyperlink">
    <w:name w:val="Hyperlink"/>
    <w:basedOn w:val="DefaultParagraphFont"/>
    <w:uiPriority w:val="99"/>
    <w:unhideWhenUsed/>
    <w:rsid w:val="007C77C8"/>
    <w:rPr>
      <w:color w:val="0563C1" w:themeColor="hyperlink"/>
      <w:u w:val="single"/>
    </w:rPr>
  </w:style>
  <w:style w:type="character" w:styleId="CommentReference">
    <w:name w:val="annotation reference"/>
    <w:basedOn w:val="DefaultParagraphFont"/>
    <w:uiPriority w:val="99"/>
    <w:semiHidden/>
    <w:unhideWhenUsed/>
    <w:rsid w:val="001C52D7"/>
    <w:rPr>
      <w:sz w:val="16"/>
      <w:szCs w:val="16"/>
    </w:rPr>
  </w:style>
  <w:style w:type="paragraph" w:styleId="CommentText">
    <w:name w:val="annotation text"/>
    <w:basedOn w:val="Normal"/>
    <w:link w:val="CommentTextChar"/>
    <w:uiPriority w:val="99"/>
    <w:semiHidden/>
    <w:unhideWhenUsed/>
    <w:rsid w:val="001C52D7"/>
    <w:pPr>
      <w:spacing w:line="240" w:lineRule="auto"/>
    </w:pPr>
    <w:rPr>
      <w:sz w:val="20"/>
      <w:szCs w:val="20"/>
    </w:rPr>
  </w:style>
  <w:style w:type="character" w:customStyle="1" w:styleId="CommentTextChar">
    <w:name w:val="Comment Text Char"/>
    <w:basedOn w:val="DefaultParagraphFont"/>
    <w:link w:val="CommentText"/>
    <w:uiPriority w:val="99"/>
    <w:semiHidden/>
    <w:rsid w:val="001C52D7"/>
    <w:rPr>
      <w:sz w:val="20"/>
      <w:szCs w:val="20"/>
    </w:rPr>
  </w:style>
  <w:style w:type="paragraph" w:styleId="CommentSubject">
    <w:name w:val="annotation subject"/>
    <w:basedOn w:val="CommentText"/>
    <w:next w:val="CommentText"/>
    <w:link w:val="CommentSubjectChar"/>
    <w:uiPriority w:val="99"/>
    <w:semiHidden/>
    <w:unhideWhenUsed/>
    <w:rsid w:val="001C52D7"/>
    <w:rPr>
      <w:b/>
      <w:bCs/>
    </w:rPr>
  </w:style>
  <w:style w:type="character" w:customStyle="1" w:styleId="CommentSubjectChar">
    <w:name w:val="Comment Subject Char"/>
    <w:basedOn w:val="CommentTextChar"/>
    <w:link w:val="CommentSubject"/>
    <w:uiPriority w:val="99"/>
    <w:semiHidden/>
    <w:rsid w:val="001C52D7"/>
    <w:rPr>
      <w:b/>
      <w:bCs/>
      <w:sz w:val="20"/>
      <w:szCs w:val="20"/>
    </w:rPr>
  </w:style>
  <w:style w:type="character" w:customStyle="1" w:styleId="Heading3Char">
    <w:name w:val="Heading 3 Char"/>
    <w:basedOn w:val="DefaultParagraphFont"/>
    <w:link w:val="Heading3"/>
    <w:uiPriority w:val="9"/>
    <w:rsid w:val="00D129DD"/>
    <w:rPr>
      <w:b/>
      <w:bCs/>
      <w:color w:val="000000" w:themeColor="text1"/>
    </w:rPr>
  </w:style>
  <w:style w:type="paragraph" w:customStyle="1" w:styleId="BulletsNES">
    <w:name w:val="Bullets NES"/>
    <w:basedOn w:val="Normal"/>
    <w:rsid w:val="00BD0386"/>
    <w:pPr>
      <w:numPr>
        <w:numId w:val="28"/>
      </w:numPr>
      <w:spacing w:after="256" w:line="340" w:lineRule="exact"/>
      <w:contextualSpacing/>
    </w:pPr>
    <w:rPr>
      <w:rFonts w:ascii="Arial" w:hAnsi="Arial" w:cs="Arial"/>
      <w:color w:val="4A4A4A"/>
      <w:sz w:val="20"/>
      <w:szCs w:val="20"/>
      <w:lang w:eastAsia="en-NZ"/>
    </w:rPr>
  </w:style>
  <w:style w:type="paragraph" w:customStyle="1" w:styleId="2ndlevelbulletdash">
    <w:name w:val="2nd level bullet dash"/>
    <w:basedOn w:val="Normal"/>
    <w:rsid w:val="00BD0386"/>
    <w:pPr>
      <w:numPr>
        <w:numId w:val="29"/>
      </w:numPr>
      <w:spacing w:before="64" w:after="64" w:line="340" w:lineRule="exact"/>
      <w:ind w:left="1758" w:hanging="454"/>
      <w:contextualSpacing/>
    </w:pPr>
    <w:rPr>
      <w:rFonts w:ascii="Arial" w:hAnsi="Arial" w:cs="Arial"/>
      <w:color w:val="4A4A4A"/>
      <w:sz w:val="20"/>
      <w:szCs w:val="20"/>
      <w:lang w:eastAsia="en-NZ"/>
    </w:rPr>
  </w:style>
  <w:style w:type="paragraph" w:customStyle="1" w:styleId="2ndlevelbullets">
    <w:name w:val="2nd level bullets"/>
    <w:basedOn w:val="Normal"/>
    <w:rsid w:val="00BD0386"/>
    <w:pPr>
      <w:numPr>
        <w:numId w:val="1"/>
      </w:numPr>
      <w:spacing w:after="128" w:line="340" w:lineRule="exact"/>
      <w:contextualSpacing/>
    </w:pPr>
    <w:rPr>
      <w:rFonts w:ascii="Arial" w:hAnsi="Arial" w:cs="Arial"/>
      <w:color w:val="4A4A4A"/>
      <w:sz w:val="20"/>
      <w:szCs w:val="20"/>
      <w:lang w:eastAsia="en-NZ"/>
    </w:rPr>
  </w:style>
  <w:style w:type="paragraph" w:styleId="NormalWeb">
    <w:name w:val="Normal (Web)"/>
    <w:basedOn w:val="Normal"/>
    <w:uiPriority w:val="99"/>
    <w:semiHidden/>
    <w:unhideWhenUsed/>
    <w:rsid w:val="009865EE"/>
    <w:pPr>
      <w:spacing w:before="100" w:beforeAutospacing="1" w:after="100" w:afterAutospacing="1" w:line="240" w:lineRule="auto"/>
    </w:pPr>
    <w:rPr>
      <w:rFonts w:ascii="Calibri" w:hAnsi="Calibri" w:cs="Calibri"/>
      <w:lang w:eastAsia="en-NZ"/>
    </w:rPr>
  </w:style>
  <w:style w:type="character" w:styleId="Emphasis">
    <w:name w:val="Emphasis"/>
    <w:basedOn w:val="DefaultParagraphFont"/>
    <w:uiPriority w:val="20"/>
    <w:qFormat/>
    <w:rsid w:val="009865EE"/>
    <w:rPr>
      <w:i/>
      <w:iCs/>
    </w:rPr>
  </w:style>
  <w:style w:type="character" w:customStyle="1" w:styleId="accordion-tabbedtab-mobile">
    <w:name w:val="accordion-tabbed__tab-mobile"/>
    <w:basedOn w:val="DefaultParagraphFont"/>
    <w:rsid w:val="00006C56"/>
  </w:style>
  <w:style w:type="character" w:customStyle="1" w:styleId="comma-separator">
    <w:name w:val="comma-separator"/>
    <w:basedOn w:val="DefaultParagraphFont"/>
    <w:rsid w:val="00006C56"/>
  </w:style>
  <w:style w:type="character" w:customStyle="1" w:styleId="epub-state">
    <w:name w:val="epub-state"/>
    <w:basedOn w:val="DefaultParagraphFont"/>
    <w:rsid w:val="00006C56"/>
  </w:style>
  <w:style w:type="character" w:customStyle="1" w:styleId="epub-date">
    <w:name w:val="epub-date"/>
    <w:basedOn w:val="DefaultParagraphFont"/>
    <w:rsid w:val="0000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600">
      <w:bodyDiv w:val="1"/>
      <w:marLeft w:val="0"/>
      <w:marRight w:val="0"/>
      <w:marTop w:val="0"/>
      <w:marBottom w:val="0"/>
      <w:divBdr>
        <w:top w:val="none" w:sz="0" w:space="0" w:color="auto"/>
        <w:left w:val="none" w:sz="0" w:space="0" w:color="auto"/>
        <w:bottom w:val="none" w:sz="0" w:space="0" w:color="auto"/>
        <w:right w:val="none" w:sz="0" w:space="0" w:color="auto"/>
      </w:divBdr>
    </w:div>
    <w:div w:id="424496586">
      <w:bodyDiv w:val="1"/>
      <w:marLeft w:val="0"/>
      <w:marRight w:val="0"/>
      <w:marTop w:val="0"/>
      <w:marBottom w:val="0"/>
      <w:divBdr>
        <w:top w:val="none" w:sz="0" w:space="0" w:color="auto"/>
        <w:left w:val="none" w:sz="0" w:space="0" w:color="auto"/>
        <w:bottom w:val="none" w:sz="0" w:space="0" w:color="auto"/>
        <w:right w:val="none" w:sz="0" w:space="0" w:color="auto"/>
      </w:divBdr>
    </w:div>
    <w:div w:id="473984904">
      <w:bodyDiv w:val="1"/>
      <w:marLeft w:val="0"/>
      <w:marRight w:val="0"/>
      <w:marTop w:val="0"/>
      <w:marBottom w:val="0"/>
      <w:divBdr>
        <w:top w:val="none" w:sz="0" w:space="0" w:color="auto"/>
        <w:left w:val="none" w:sz="0" w:space="0" w:color="auto"/>
        <w:bottom w:val="none" w:sz="0" w:space="0" w:color="auto"/>
        <w:right w:val="none" w:sz="0" w:space="0" w:color="auto"/>
      </w:divBdr>
    </w:div>
    <w:div w:id="481315222">
      <w:bodyDiv w:val="1"/>
      <w:marLeft w:val="0"/>
      <w:marRight w:val="0"/>
      <w:marTop w:val="0"/>
      <w:marBottom w:val="0"/>
      <w:divBdr>
        <w:top w:val="none" w:sz="0" w:space="0" w:color="auto"/>
        <w:left w:val="none" w:sz="0" w:space="0" w:color="auto"/>
        <w:bottom w:val="none" w:sz="0" w:space="0" w:color="auto"/>
        <w:right w:val="none" w:sz="0" w:space="0" w:color="auto"/>
      </w:divBdr>
    </w:div>
    <w:div w:id="943997487">
      <w:bodyDiv w:val="1"/>
      <w:marLeft w:val="0"/>
      <w:marRight w:val="0"/>
      <w:marTop w:val="0"/>
      <w:marBottom w:val="0"/>
      <w:divBdr>
        <w:top w:val="none" w:sz="0" w:space="0" w:color="auto"/>
        <w:left w:val="none" w:sz="0" w:space="0" w:color="auto"/>
        <w:bottom w:val="none" w:sz="0" w:space="0" w:color="auto"/>
        <w:right w:val="none" w:sz="0" w:space="0" w:color="auto"/>
      </w:divBdr>
    </w:div>
    <w:div w:id="949816267">
      <w:bodyDiv w:val="1"/>
      <w:marLeft w:val="0"/>
      <w:marRight w:val="0"/>
      <w:marTop w:val="0"/>
      <w:marBottom w:val="0"/>
      <w:divBdr>
        <w:top w:val="none" w:sz="0" w:space="0" w:color="auto"/>
        <w:left w:val="none" w:sz="0" w:space="0" w:color="auto"/>
        <w:bottom w:val="none" w:sz="0" w:space="0" w:color="auto"/>
        <w:right w:val="none" w:sz="0" w:space="0" w:color="auto"/>
      </w:divBdr>
    </w:div>
    <w:div w:id="1019701525">
      <w:bodyDiv w:val="1"/>
      <w:marLeft w:val="0"/>
      <w:marRight w:val="0"/>
      <w:marTop w:val="0"/>
      <w:marBottom w:val="0"/>
      <w:divBdr>
        <w:top w:val="none" w:sz="0" w:space="0" w:color="auto"/>
        <w:left w:val="none" w:sz="0" w:space="0" w:color="auto"/>
        <w:bottom w:val="none" w:sz="0" w:space="0" w:color="auto"/>
        <w:right w:val="none" w:sz="0" w:space="0" w:color="auto"/>
      </w:divBdr>
    </w:div>
    <w:div w:id="1099906060">
      <w:bodyDiv w:val="1"/>
      <w:marLeft w:val="0"/>
      <w:marRight w:val="0"/>
      <w:marTop w:val="0"/>
      <w:marBottom w:val="0"/>
      <w:divBdr>
        <w:top w:val="none" w:sz="0" w:space="0" w:color="auto"/>
        <w:left w:val="none" w:sz="0" w:space="0" w:color="auto"/>
        <w:bottom w:val="none" w:sz="0" w:space="0" w:color="auto"/>
        <w:right w:val="none" w:sz="0" w:space="0" w:color="auto"/>
      </w:divBdr>
    </w:div>
    <w:div w:id="1360207331">
      <w:bodyDiv w:val="1"/>
      <w:marLeft w:val="0"/>
      <w:marRight w:val="0"/>
      <w:marTop w:val="0"/>
      <w:marBottom w:val="0"/>
      <w:divBdr>
        <w:top w:val="none" w:sz="0" w:space="0" w:color="auto"/>
        <w:left w:val="none" w:sz="0" w:space="0" w:color="auto"/>
        <w:bottom w:val="none" w:sz="0" w:space="0" w:color="auto"/>
        <w:right w:val="none" w:sz="0" w:space="0" w:color="auto"/>
      </w:divBdr>
    </w:div>
    <w:div w:id="1830244947">
      <w:bodyDiv w:val="1"/>
      <w:marLeft w:val="0"/>
      <w:marRight w:val="0"/>
      <w:marTop w:val="0"/>
      <w:marBottom w:val="0"/>
      <w:divBdr>
        <w:top w:val="none" w:sz="0" w:space="0" w:color="auto"/>
        <w:left w:val="none" w:sz="0" w:space="0" w:color="auto"/>
        <w:bottom w:val="none" w:sz="0" w:space="0" w:color="auto"/>
        <w:right w:val="none" w:sz="0" w:space="0" w:color="auto"/>
      </w:divBdr>
    </w:div>
    <w:div w:id="2079285511">
      <w:bodyDiv w:val="1"/>
      <w:marLeft w:val="0"/>
      <w:marRight w:val="0"/>
      <w:marTop w:val="0"/>
      <w:marBottom w:val="0"/>
      <w:divBdr>
        <w:top w:val="none" w:sz="0" w:space="0" w:color="auto"/>
        <w:left w:val="none" w:sz="0" w:space="0" w:color="auto"/>
        <w:bottom w:val="none" w:sz="0" w:space="0" w:color="auto"/>
        <w:right w:val="none" w:sz="0" w:space="0" w:color="auto"/>
      </w:divBdr>
    </w:div>
    <w:div w:id="20966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84" ma:contentTypeDescription="Create a new document." ma:contentTypeScope="" ma:versionID="8e519217f8756bfc32d63991e65895d6">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35a441b211a72753b84772a284041329"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1. 28 July 2022 Meeting</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_dlc_DocId xmlns="56bce0aa-d130-428b-89aa-972bdc26e82f">MOHECM-1850229157-132</_dlc_DocId>
    <_dlc_DocIdUrl xmlns="56bce0aa-d130-428b-89aa-972bdc26e82f">
      <Url>https://mohgovtnz.sharepoint.com/sites/moh-ecm-NatEth/_layouts/15/DocIdRedir.aspx?ID=MOHECM-1850229157-132</Url>
      <Description>MOHECM-1850229157-132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2F5E7-EF63-475F-B002-7873F796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7C7FD-6F38-4B9F-A8B2-C8E0F0C27764}">
  <ds:schemaRefs>
    <ds:schemaRef ds:uri="http://schemas.microsoft.com/sharepoint/events"/>
  </ds:schemaRefs>
</ds:datastoreItem>
</file>

<file path=customXml/itemProps3.xml><?xml version="1.0" encoding="utf-8"?>
<ds:datastoreItem xmlns:ds="http://schemas.openxmlformats.org/officeDocument/2006/customXml" ds:itemID="{ACE016DA-67B6-4140-BCAA-C7D6EF6C7E2D}">
  <ds:schemaRefs>
    <ds:schemaRef ds:uri="ae638a50-07e4-437e-8f63-6962fde4e67a"/>
    <ds:schemaRef ds:uri="15ffb055-6eb4-45a1-bc20-bf2ac0d420da"/>
    <ds:schemaRef ds:uri="http://www.w3.org/XML/1998/namespace"/>
    <ds:schemaRef ds:uri="d0b61010-d6f3-4072-b934-7bbb13e97771"/>
    <ds:schemaRef ds:uri="6680c44c-cc36-4314-ad61-78a9951b8b47"/>
    <ds:schemaRef ds:uri="4f9c820c-e7e2-444d-97ee-45f2b3485c1d"/>
    <ds:schemaRef ds:uri="184c05c4-c568-455d-94a4-7e009b164348"/>
    <ds:schemaRef ds:uri="http://purl.org/dc/dcmitype/"/>
    <ds:schemaRef ds:uri="http://schemas.microsoft.com/office/2006/metadata/properties"/>
    <ds:schemaRef ds:uri="56bce0aa-d130-428b-89aa-972bdc26e82f"/>
    <ds:schemaRef ds:uri="http://schemas.microsoft.com/office/infopath/2007/PartnerControls"/>
    <ds:schemaRef ds:uri="http://purl.org/dc/terms/"/>
    <ds:schemaRef ds:uri="http://schemas.openxmlformats.org/package/2006/metadata/core-properties"/>
    <ds:schemaRef ds:uri="c91a514c-9034-4fa3-897a-8352025b26ed"/>
    <ds:schemaRef ds:uri="725c79e5-42ce-4aa0-ac78-b6418001f0d2"/>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D0F26B47-75B7-4231-8821-7BD4C4D75364}">
  <ds:schemaRefs>
    <ds:schemaRef ds:uri="http://schemas.openxmlformats.org/officeDocument/2006/bibliography"/>
  </ds:schemaRefs>
</ds:datastoreItem>
</file>

<file path=customXml/itemProps5.xml><?xml version="1.0" encoding="utf-8"?>
<ds:datastoreItem xmlns:ds="http://schemas.openxmlformats.org/officeDocument/2006/customXml" ds:itemID="{D7E19D1F-F24C-4CFB-AD49-9AE9BB774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3304</Words>
  <Characters>18837</Characters>
  <Application>Microsoft Office Word</Application>
  <DocSecurity>0</DocSecurity>
  <Lines>156</Lines>
  <Paragraphs>44</Paragraphs>
  <ScaleCrop>false</ScaleCrop>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Miles</dc:creator>
  <cp:keywords/>
  <dc:description/>
  <cp:lastModifiedBy>Zoe Benge</cp:lastModifiedBy>
  <cp:revision>12</cp:revision>
  <dcterms:created xsi:type="dcterms:W3CDTF">2022-11-04T00:48:00Z</dcterms:created>
  <dcterms:modified xsi:type="dcterms:W3CDTF">2022-11-08T22:09:00Z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6da5ff3b-2345-4033-8189-a661b6ce3f75</vt:lpwstr>
  </property>
</Properties>
</file>